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86R13894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4490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equalized education funding and mandate impact statements for bills and resolutions.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314.004, Government Code, is amended to read as follows:</w:t>
      </w:r>
    </w:p>
    <w:p w:rsidR="003F3435" w:rsidRDefault="0032493E">
      <w:pPr>
        <w:spacing w:line="480" w:lineRule="auto"/>
        <w:ind w:firstLine="720"/>
        <w:jc w:val="both"/>
      </w:pPr>
      <w:r>
        <w:t xml:space="preserve">Sec.</w:t>
      </w:r>
      <w:r xml:space="preserve">
        <w:t> </w:t>
      </w:r>
      <w:r>
        <w:t xml:space="preserve">314.004.</w:t>
      </w:r>
      <w:r xml:space="preserve">
        <w:t> </w:t>
      </w:r>
      <w:r xml:space="preserve">
        <w:t> </w:t>
      </w:r>
      <w:r>
        <w:t xml:space="preserve">EQUALIZED EDUCATION FUNDING </w:t>
      </w:r>
      <w:r>
        <w:rPr>
          <w:u w:val="single"/>
        </w:rPr>
        <w:t xml:space="preserve">AND MANDATE</w:t>
      </w:r>
      <w:r>
        <w:t xml:space="preserve"> IMPACT STATEMENT.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314.004, Government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The board shall prepare for each bill or resolution that affects public education an equalized education funding </w:t>
      </w:r>
      <w:r>
        <w:rPr>
          <w:u w:val="single"/>
        </w:rPr>
        <w:t xml:space="preserve">and mandate</w:t>
      </w:r>
      <w:r>
        <w:t xml:space="preserve"> impact statement.</w:t>
      </w:r>
    </w:p>
    <w:p w:rsidR="003F3435" w:rsidRDefault="0032493E">
      <w:pPr>
        <w:spacing w:line="480" w:lineRule="auto"/>
        <w:ind w:firstLine="720"/>
        <w:jc w:val="both"/>
      </w:pPr>
      <w:r>
        <w:t xml:space="preserve">(b)</w:t>
      </w:r>
      <w:r xml:space="preserve">
        <w:t> </w:t>
      </w:r>
      <w:r xml:space="preserve">
        <w:t> </w:t>
      </w:r>
      <w:r>
        <w:t xml:space="preserve">The impact statement must evaluate the effect of the bill or resolution on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all state equalized funding requirements and policies</w:t>
      </w:r>
      <w:r>
        <w:rPr>
          <w:u w:val="single"/>
        </w:rPr>
        <w:t xml:space="preserve">, including any reduction in the amount of state aid a school district would receive under the bill or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bill or resolution proposes a mandate, the amount of additional: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revenue the bill or resolution would require a school district to expend to comply with the mandate;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time the bill or resolution would require a school district employee or student to expend to comply with the mandate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section, "mandate" means a statutory requirement proposed in a bill or resolution that requires a school district or an employee or student of a school district to establish, expand, or modify an activity in a way that requires the expenditure of revenue or time by the school district, employee, or student that would not have been required in the absence of the statutory requirement proposed in the bill or resolution.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