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86R12480 LED-F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Herrero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4492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enrollment of certain retirees in and cost-sharing for the Texas Public School Employees Group Insurance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1575.161, Insurance Code, is amended by adding Subsections (b) and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Subsection (a), the trustee by rule shall provide one opportunity to reenroll in a health benefit plan offered under the group program for an otherwise eligible retiree: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who is eligible to enroll in Medicare;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whose initial enrollment was voluntarily terminated on or after January 1, 2017, and on or before December 31, 2018;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who opts to reenroll on or before December 31, 2023.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(b) and this subsection expire September 1, 2024.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1575.202(a), Insurance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Each state fiscal year, the state shall contribute to the fund an amount equal to </w:t>
      </w:r>
      <w:r>
        <w:rPr>
          <w:u w:val="single"/>
        </w:rPr>
        <w:t xml:space="preserve">a percentage</w:t>
      </w:r>
      <w:r>
        <w:t xml:space="preserve"> [</w:t>
      </w:r>
      <w:r>
        <w:rPr>
          <w:strike/>
        </w:rPr>
        <w:t xml:space="preserve">1.25 percent</w:t>
      </w:r>
      <w:r>
        <w:t xml:space="preserve">] of the salary of each active employee </w:t>
      </w:r>
      <w:r>
        <w:rPr>
          <w:u w:val="single"/>
        </w:rPr>
        <w:t xml:space="preserve">as follows: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the 2020 and 2021 fiscal years, 2.25 percent;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the 2022 fiscal year, 2.5 percent;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the 2023 fiscal year, 2.75 percent;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the 2024 fiscal year, three percent;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the 2025 fiscal year, 3.25 percent;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the 2026 fiscal year, 3.5 percent;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the 2027 fiscal year, 3.75 percent;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the 2028 fiscal year, four percent;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the 2029 fiscal year, and each subsequent fiscal year, 4.25 percent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1575.212, Insurance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trustee may not increase the payments under Subsection (a-1) for a biennium in which the legislature does not increase annuities under Chapter 824,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(a)  Not later than November 1, 2019, the Teacher Retirement System of Texas shall adopt rules necessary to implement Section 1575.161(b), Insurance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Rules adopted by the Teacher Retirement System of Texas under Section 1575.161(b), Insurance Code, as added by this Act, must apply to a retiree described by that subsection, regardless of whether the termination of the retiree's initial enrollment occurred before, on, or after the effective date of the rules or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4492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