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86R5918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4494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 Tax Code, is amended by amending Subsections (a), (b), and (c) and adding Subsections (a-1), (a-2), (a-3), (a-4), (a-5), (a-6), (a-7),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Notwithstanding the requirements of Section 25.18 and regardless of whether the appraisal office has appraised the property and determined the market value of the property for the tax year, an appraisal office may increase the</w:t>
      </w:r>
      <w:r>
        <w:t xml:space="preserve">] appraised value of a residence homestead for a tax year </w:t>
      </w:r>
      <w:r>
        <w:rPr>
          <w:u w:val="single"/>
        </w:rPr>
        <w:t xml:space="preserve">is equal</w:t>
      </w:r>
      <w:r>
        <w:t xml:space="preserve"> to [</w:t>
      </w:r>
      <w:r>
        <w:rPr>
          <w:strike/>
        </w:rPr>
        <w:t xml:space="preserve">an amount not to exceed the lesser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market value of the property for the </w:t>
      </w:r>
      <w:r>
        <w:rPr>
          <w:u w:val="single"/>
        </w:rPr>
        <w:t xml:space="preserve">first</w:t>
      </w:r>
      <w:r>
        <w:t xml:space="preserve"> </w:t>
      </w:r>
      <w:r>
        <w:t xml:space="preserve">[</w:t>
      </w:r>
      <w:r>
        <w:rPr>
          <w:strike/>
        </w:rPr>
        <w:t xml:space="preserve">most recent</w:t>
      </w:r>
      <w:r>
        <w:t xml:space="preserve">] tax year that the </w:t>
      </w:r>
      <w:r>
        <w:rPr>
          <w:u w:val="single"/>
        </w:rPr>
        <w:t xml:space="preserve">owner qualified the property for an exemption under Section 11.13</w:t>
      </w:r>
      <w:r>
        <w:t xml:space="preserve"> [</w:t>
      </w:r>
      <w:r>
        <w:rPr>
          <w:strike/>
        </w:rPr>
        <w:t xml:space="preserve">market value was determined by the appraisal office;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sum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10 percent of the appraised value of the property for the preceding tax year;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appraised value of the property for the preceding tax year; and</w:t>
      </w:r>
    </w:p>
    <w:p w:rsidR="003F3435" w:rsidRDefault="0032493E">
      <w:pPr>
        <w:spacing w:line="480" w:lineRule="auto"/>
        <w:ind w:firstLine="1440"/>
        <w:jc w:val="both"/>
      </w:pPr>
      <w:r>
        <w:t xml:space="preserve">[</w:t>
      </w:r>
      <w:r>
        <w:rPr>
          <w:strike/>
        </w:rPr>
        <w:t xml:space="preserve">(C)</w:t>
      </w:r>
      <w:r xml:space="preserve">
        <w:rPr>
          <w:strike/>
        </w:rPr>
        <w:t> </w:t>
      </w:r>
      <w:r xml:space="preserve">
        <w:rPr>
          <w:strike/>
        </w:rPr>
        <w:t> </w:t>
      </w:r>
      <w:r>
        <w:rPr>
          <w:strike/>
        </w:rPr>
        <w:t xml:space="preserve">the market value of all new improvements to the property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if the owner of real property qualified the property for an exemption under Section 11.13 and the owner acquired the property as a bona fide purchaser for value, the appraised value of the property is equal to the purchase price of the property paid by the owner.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first tax year the property owner qualified the property for an exemption under Section 11.13 was a tax year before the 2020 tax year, the appraised value of the property as shown on the 2019 appraisal roll is considered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first tax year that the owner qualified the property for an exemption under Section 11.13 for purposes of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price of the property paid by the owner for purposes of Subsection (a-1).</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Subsection (a-1) does not apply to a residence homestead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pursuant to a court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 trustee in bankruptcy;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one co-owner from one or more other co-owners;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from a spouse or a person or persons within the first or second degree of lineal consanguinity of one or more of the purchasers;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from a governmental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appraiser determines that the applicant was not a bona fide purchaser for value under criteria established by rules adopted by the comptroller for that purpose.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To receive a limitation on appraised value under Subsection (a-1), an owner of the property must apply for the limitation.  To apply for the limitation, the owner must file an application with the chief appraiser for each appraisal district in which the property subject to the claimed limitation is located.  The application must be filed not later than the latest date on which the owner may file an application for an exemption under Section 11.13 on the property for the year under Section 11.43.  The comptroller by rule shall prescribe the form for the application to ensure that the applicant provides the information necessary to determine the applicant's eligibility for the limitation, including the purchase price of the property paid by the applicant.</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An application filed with a chief appraiser under Subsection (a-4) is confidential and not open to public inspection.  The application and the information it contains may not be disclosed to another person other than an employee of the appraisal district who appraises property, except as provided by Subsection (a-6).</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Information that is confidential under Subsection (a-5)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judicial or administrative proceeding under a lawful subpoena;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purchaser, grantee, seller, or grantor named in the application or in the deed to which the application applies or to a representative of the purchaser, grantee, seller, or grantor under a written authorization signed by the purchaser, grantee, seller, or grantor;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comptroller or to an assessor for a taxing unit in which the property described in the application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 judicial or administrative proceeding related to real property taxation: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which the purchaser, grantee, seller, or grantor is a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which an owner of the property described in the application is a party;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the appraisal district for the purpose of establishing a value of the property or of providing evidence of comparable sales to appraise another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statistical purposes if the information is provided in a form that does not identify a specific property or specific purchaser, grantee, seller, or grantor;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and to the extent that the information is required to be included in a public document or record that the appraisal office is required to prepare or maintain;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a taxing unit or its legal representative that is engaged in the collection of delinquent taxes on the property described in the application.</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Information that is disclosed under Subsection (a-6) does not lose its confidential character.</w:t>
      </w:r>
    </w:p>
    <w:p w:rsidR="003F3435" w:rsidRDefault="0032493E">
      <w:pPr>
        <w:spacing w:line="480" w:lineRule="auto"/>
        <w:ind w:firstLine="720"/>
        <w:jc w:val="both"/>
      </w:pPr>
      <w:r>
        <w:t xml:space="preserve">(b)</w:t>
      </w:r>
      <w:r xml:space="preserve">
        <w:t> </w:t>
      </w:r>
      <w:r xml:space="preserve">
        <w:t> </w:t>
      </w:r>
      <w:r>
        <w:t xml:space="preserve">When appraising a residence homestead,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w:t>
      </w:r>
      <w:r>
        <w:rPr>
          <w:u w:val="single"/>
        </w:rPr>
        <w:t xml:space="preserve">(a) or (a-1), as applicable</w:t>
      </w:r>
      <w:r>
        <w:t xml:space="preserve"> [</w:t>
      </w:r>
      <w:r>
        <w:rPr>
          <w:strike/>
        </w:rPr>
        <w:t xml:space="preserve">(a)(2)</w:t>
      </w:r>
      <w:r>
        <w:t xml:space="preserve">].</w:t>
      </w:r>
    </w:p>
    <w:p w:rsidR="003F3435" w:rsidRDefault="0032493E">
      <w:pPr>
        <w:spacing w:line="480" w:lineRule="auto"/>
        <w:ind w:firstLine="720"/>
        <w:jc w:val="both"/>
      </w:pPr>
      <w:r>
        <w:t xml:space="preserve">(c)</w:t>
      </w:r>
      <w:r xml:space="preserve">
        <w:t> </w:t>
      </w:r>
      <w:r xml:space="preserve">
        <w:t> </w:t>
      </w:r>
      <w:r>
        <w:t xml:space="preserve">The limitation provided by Subsection (a) </w:t>
      </w:r>
      <w:r>
        <w:rPr>
          <w:u w:val="single"/>
        </w:rPr>
        <w:t xml:space="preserve">or (a-1)</w:t>
      </w:r>
      <w:r>
        <w:t xml:space="preserve"> takes effect as to a residence homestead on January 1 of the </w:t>
      </w:r>
      <w:r>
        <w:rPr>
          <w:u w:val="single"/>
        </w:rPr>
        <w:t xml:space="preserve">first</w:t>
      </w:r>
      <w:r>
        <w:t xml:space="preserve"> tax year [</w:t>
      </w:r>
      <w:r>
        <w:rPr>
          <w:strike/>
        </w:rPr>
        <w:t xml:space="preserve">following the first tax year</w:t>
      </w:r>
      <w:r>
        <w:t xml:space="preserve">] the owner qualifies the property for an exemption under Section 11.13.  The limitation expires on January 1 of the first tax year that neither the owner of the property when the limitation took effect nor the owner's spouse or surviving spouse qualifies for an exemption under Section 11.13.</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limitation established under Subsection (a) or (a-1) does not expire if a change in ownership of the property occurs by inheritance or under a will as long as the person who acquires the property qualifies for an exemption under Section 11.13.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23.23(e), (f), and (g), Tax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that the appraised value of a residence homestead for ad valorem tax purposes is the market value of the property for the first year that the owner qualified the property for a homestead exemption or, if the owner purchased the property, the purchase price of the property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