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86R13829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4503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proof of ownership required for the registration of certain boats.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31.036, Parks and Wildlife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certificate of title is required as proof of ownership of a vessel for which a certificate of number is sought.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certificate of title is not required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vessel for which a certificate of number is sought is more than 25 years 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the owner of the vessel includes in an application for a number: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proof of purchase of the vessel;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proof of inheritance of the vessel;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written statement acknowledging that boat theft is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Parks and Wildlife Commission shall adopt rules necessary to implement Section 31.036, Parks and Wildlife Code, as amended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application for a certificate of number submitted to the Parks and Wildlife Department on or after the effective date of this Act. </w:t>
      </w:r>
      <w:r>
        <w:t xml:space="preserve"> </w:t>
      </w:r>
      <w:r>
        <w:t xml:space="preserve">An application for a certificate of number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