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accelerated payments applicable to state contracts in which a small businesses concern performs services as a prime contractor.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2155.001, Texas Government Code, is amended by adding </w:t>
      </w:r>
      <w:r>
        <w:rPr>
          <w:u w:val="single"/>
        </w:rPr>
        <w:t xml:space="preserve">Section 2155.388</w:t>
      </w:r>
      <w:r>
        <w:t xml:space="preserve">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Section 2155.388, TIME FOR PAYMENT. Any contract made or entered into by a Texas government department or Texas agency with a Small  Business Concern, as defined by Section 2155.505, Government Code, that  performs services as a Prime Contractor, as defined by Section 2253.001,  Government Code, may, to the fullest extent permitted by law,  establish an accelerated payment date of 15 days after a proper  invoice for the amount due is received provided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specific payment date is not established by contract;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 further consideration from or fees are charged to such prime contractor.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SECTION</w:t>
      </w:r>
      <w:r>
        <w:rPr>
          <w:u w:val="single"/>
        </w:rPr>
        <w:t xml:space="preserve"> </w:t>
      </w:r>
      <w:r>
        <w:rPr>
          <w:u w:val="single"/>
        </w:rPr>
        <w:t xml:space="preserve">2</w:t>
      </w:r>
      <w:r>
        <w:rPr>
          <w:u w:val="single"/>
        </w:rPr>
        <w:t xml:space="preserve">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Act takes effect on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