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86R19165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4517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4517:</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4517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14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 and</w:t>
      </w:r>
    </w:p>
    <w:p w:rsidR="003F3435" w:rsidRDefault="0032493E">
      <w:pPr>
        <w:spacing w:line="480" w:lineRule="auto"/>
        <w:ind w:firstLine="1440"/>
        <w:jc w:val="both"/>
      </w:pPr>
      <w:r>
        <w:t xml:space="preserve">(4)</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or reimbursement for expenses incurred by the member in the performance of official duties as a member of the work group.</w:t>
      </w:r>
    </w:p>
    <w:p w:rsidR="003F3435" w:rsidRDefault="0032493E">
      <w:pPr>
        <w:spacing w:line="480" w:lineRule="auto"/>
        <w:ind w:firstLine="720"/>
        <w:jc w:val="both"/>
      </w:pPr>
      <w:r>
        <w:t xml:space="preserve">(e)</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(f)</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(g)</w:t>
      </w:r>
      <w:r xml:space="preserve">
        <w:t> </w:t>
      </w:r>
      <w:r xml:space="preserve">
        <w:t> </w:t>
      </w:r>
      <w:r>
        <w:t xml:space="preserve">Not later than  November 1, 2020, the work group shall submit a report that includes the master plan developed under Subsection (f)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(h)</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(i)</w:t>
      </w:r>
      <w:r xml:space="preserve">
        <w:t> </w:t>
      </w:r>
      <w:r xml:space="preserve">
        <w:t> </w:t>
      </w:r>
      <w:r>
        <w:t xml:space="preserve">This section expires and the work group is abolished June 30,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2019, the governor, lieutenant governor, and the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