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86R15107 GRM-D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Swanson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4521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filing fee for certain candidates.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142.004(b),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application must, in addition to complying with Section 141.031, be accompanied by </w:t>
      </w:r>
      <w:r>
        <w:rPr>
          <w:u w:val="single"/>
        </w:rPr>
        <w:t xml:space="preserve">the appropriate filing fee or</w:t>
      </w:r>
      <w:r>
        <w:t xml:space="preserve"> a petition </w:t>
      </w:r>
      <w:r>
        <w:rPr>
          <w:u w:val="single"/>
        </w:rPr>
        <w:t xml:space="preserve">in lieu of the filing fee</w:t>
      </w:r>
      <w:r>
        <w:t xml:space="preserve"> that satisfies the requirements prescribed by Section 141.062.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142, Election Code, is amended by adding Section 142.0041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142.0041.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FILING FEE.  (a)  The filing fee for an independent candidate is the amount prescribed by Section 172.024 for a candidate for nomination for the same office in a general primary election.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filing fee received by the secretary of state shall be deposited in the state treasury to the credit of the general revenue fund.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filing fee received by the county judge shall be deposited in the county treasury to the credit of the county general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181.031, Election Code, is amended by adding Subsections (d), (e), and (f)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addition to the requirements prescribed by Section 141.031, the application must be accompanied by a filing fee or a petition in lieu of the filing fee that satisfies the requirements imposed by Section 141.062.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of the filing fee imposed under Subsection (d) is the amount prescribed by Section 172.024 for a candidate for nomination for the same office in a general primary election.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filing fee under this section is to be delivered to the appropriate party official under Section 181.032(a) for party use.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4521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