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86R16248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prohibited actions regarding health benefit plan coverage for enrollees who refuse to have an abortion; providing civil penalties.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1454, Insurance Code, is amended by adding Section 1454.003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1454.003.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LOSS OF COVERAGE FOR ABORTION REFUSAL PROHIBITED.  (a) </w:t>
      </w:r>
      <w:r>
        <w:rPr>
          <w:u w:val="single"/>
        </w:rPr>
        <w:t xml:space="preserve"> </w:t>
      </w:r>
      <w:r>
        <w:rPr>
          <w:u w:val="single"/>
        </w:rPr>
        <w:t xml:space="preserve">A health benefit plan issuer may not condition continued health benefit coverage for an enrollee on the enrollee having or require the enrollee to have an abortion regardless of whether a physician or health care practitioner has diagnosed the enrollee's unborn child as unviable or having a fetal abnormality.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shall monitor enforcement of this section and establish a complaint system for a person to report a violation of this section.  The attorney general shall notify the department of a valid complaint.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a sanction under Chapter 82, an administrative penalty under Chapter 84, or any other enforcement authorized under Subtitle B, Title 2, a health benefit plan issuer that violates this section is subject to a civil penalty in an amount of not more than $1,000 for each violation and for each day of a continuing violation.  The attorney general may recover reasonable attorney's fees and costs incurred in bringing a suit to recover the civil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1696, Insurance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1696. </w:t>
      </w:r>
      <w:r>
        <w:t xml:space="preserve"> </w:t>
      </w:r>
      <w:r>
        <w:t xml:space="preserve">COVERAGE FOR </w:t>
      </w:r>
      <w:r>
        <w:rPr>
          <w:u w:val="single"/>
        </w:rPr>
        <w:t xml:space="preserve">AND REQUIREMENT TO HAVE</w:t>
      </w:r>
      <w:r>
        <w:t xml:space="preserve"> ELECTIVE ABORTION; PROHIBITIONS AND REQUIREMENTS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1696, Insurance Code, is amended by adding Section 1696.003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1696.003.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LOSS OF COVERAGE FOR ABORTION REFUSAL PROHIBITED.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An issuer of a qualified plan offered through a health benefit exchange may not condition continued health benefit coverage for an enrollee on the enrollee having or require the enrollee to have an abortion regardless of whether a physician or health care practitioner has diagnosed the enrollee's unborn child as unviable or having a fetal abnormality.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shall monitor enforcement of this section and establish a complaint system for a person to report a violation of this section.  The attorney general shall notify the department of a valid complaint.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a sanction under Chapter 82, an administrative penalty under Chapter 84, or any other enforcement authorized under Subtitle B, Title 2, an issuer of a qualified plan offered through a health benefit exchange that violates this section is subject to a civil penalty in an amount of not more than $1,000 for each violation and for each day of a continuing violation.  The attorney general may recover reasonable attorney's fees and costs incurred in bringing a suit to recover the civil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health benefit or qualified plan delivered, issued for delivery, or renewed on or after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