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86R15248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4525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energy savings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447, Government Code, is amended by adding Section 447.014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447.014.</w:t>
      </w:r>
      <w:r>
        <w:rPr>
          <w:u w:val="single"/>
        </w:rPr>
        <w:t xml:space="preserve"> </w:t>
      </w:r>
      <w:r>
        <w:rPr>
          <w:u w:val="single"/>
        </w:rPr>
        <w:t xml:space="preserve"> </w:t>
      </w:r>
      <w:r>
        <w:rPr>
          <w:u w:val="single"/>
        </w:rPr>
        <w:t xml:space="preserve">STATE AGENCY ENERGY SAVINGS PROGRAM.  (a) </w:t>
      </w:r>
      <w:r>
        <w:rPr>
          <w:u w:val="single"/>
        </w:rPr>
        <w:t xml:space="preserve"> </w:t>
      </w:r>
      <w:r>
        <w:rPr>
          <w:u w:val="single"/>
        </w:rPr>
        <w:t xml:space="preserve">Each state agency shall develop and submit to the state energy conservation office and the Legislative Budget Board a plan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conserve energy, including reducing the use of electricity, gasoline, and natural gas by at least 10 percent by December 1, 2020;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greenhouse gas emissions by 40 percent by 2030;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up to 25 percent of the energy used by the agency from carbon-free sources, including wind or solar energy, by 2030.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plan described by Subsection (a) must project fiscal savings associated with the plan and a percentage of overall carbon emissions reduction.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state agency shall submit quarterly to the state energy conservation office and the Legislative Budget Board a report describing progress towards implementing the plan described by Subsection (a) and any additional ideas for energy savings.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2021, each state agency shall deliver to the state energy conservation office and the Legislative Budget Board the plan required by Section 447.014(a),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April 1, 2021, each state agency shall deliver to the state energy conservation office and the Legislative Budget Board the first quarterly report required by Section 447.014(c),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