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86R16549 LED-D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xml:space="preserve">
        <w:tab wTab="150" tlc="none" cTlc="0"/>
      </w:r>
      <w:r>
        <w:t xml:space="preserve">H.B.</w:t>
      </w:r>
      <w:r xml:space="preserve">
        <w:t> </w:t>
      </w:r>
      <w:r>
        <w:t xml:space="preserve">No.</w:t>
      </w:r>
      <w:r xml:space="preserve">
        <w:t> </w:t>
      </w:r>
      <w:r>
        <w:t xml:space="preserve">4526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for performing certain abortions; providing civil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71.002, Civil Practice and Remedies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is liable for damages arising from a violation of Section 170.002(a), 171.043, 171.044, 171.102, or 171.152,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71.004(b), Civil Practice and Remedies Code, is amended to read as follows:</w:t>
      </w:r>
    </w:p>
    <w:p w:rsidR="003F3435" w:rsidRDefault="0032493E">
      <w:pPr>
        <w:spacing w:line="480" w:lineRule="auto"/>
        <w:ind w:firstLine="720"/>
        <w:jc w:val="both"/>
      </w:pPr>
      <w:r>
        <w:t xml:space="preserve">(b)</w:t>
      </w:r>
      <w:r xml:space="preserve">
        <w:t> </w:t>
      </w:r>
      <w:r xml:space="preserve">
        <w:t> </w:t>
      </w:r>
      <w:r>
        <w:t xml:space="preserve">The surviving spouse, children, and parents of the deceased may bring the action or one or more of those individuals may bring the action for the benefit of all. </w:t>
      </w:r>
      <w:r>
        <w:t xml:space="preserve"> </w:t>
      </w:r>
      <w:r>
        <w:rPr>
          <w:u w:val="single"/>
        </w:rPr>
        <w:t xml:space="preserve">A next friend may bring an action for damages under Section 71.002(f).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170, Health and Safety Code, is amended by adding  Section 170.003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170.003.</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Section 170.002(a) is liable to this state for a civil penalty of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file an action under this section in a district court in Travis County or the county in which the violation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attorney's fees, investigative costs, witness fees, and deposition expenses.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C, Chapter 171, Health and Safety Code, is amended by adding  Section 171.049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171.049.</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Section 171.043 or 171.044 is liable to this state for a civil penalty of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file an action under this section in a district court in Travis County or the county in which the violation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attorney's fees, investigative costs, witness fees, and deposition expenses.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F, Chapter 171, Health and Safety Code, is amended by adding Section 171.1045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171.1045.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Section 171.102 is liable to this state for a civil penalty of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file an action under this section in a district court in Travis County or the county in which the violation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attorney's fees, investigative costs, witness fees, and deposition expenses.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G, Chapter 171, Health and Safety Code, is amended by adding Section 171.1535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171.1535.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Section 171.152 is liable to this state for a civil penalty of $30,000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sue to collect the penalty.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shall file an action under this section in a district court in Travis County or the county in which the violation occurred.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may recover reasonable expenses incurred in obtaining a civil penalty under this section, including court costs, attorney's fees, investigative costs, witness fees, and deposition expenses.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change in law made by this Act applies only to a cause of action that accrues on or after the effective date of this Act.  A cause of action that accrues before the effective date of this Act is governed by the law applicable to the cause of action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applies only to an abortion performed on or after the effective date of this Act.  An abortion performed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