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86R16549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performing certain abortions;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71.002, Civil Practice and Remedies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is liable for damages arising from a violation of Section 170.002(a), 171.043, 171.044, 171.102, or 171.152,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71.004(b),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children, and parents of the deceased may bring the action or one or more of those individuals may bring the action for the benefit of all. </w:t>
      </w:r>
      <w:r>
        <w:t xml:space="preserve"> </w:t>
      </w:r>
      <w:r>
        <w:rPr>
          <w:u w:val="single"/>
        </w:rPr>
        <w:t xml:space="preserve">A next friend may bring an action for damages under Section 71.002(f).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170, Health and Safety Code, is amended by adding  Section 170.003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170.003.</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Section 170.002(a)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171, Health and Safety Code, is amended by adding  Section 171.049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171.049.</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Section 171.043 or 171.044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F, Chapter 171, Health and Safety Code, is amended by adding Section 171.1045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171.1045.</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Section 171.102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G, Chapter 171, Health and Safety Code, is amended by adding Section 171.1535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171.1535.</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Section 171.152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an abortion performed on or after the effective date of this Act.  An abortion performed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