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4531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elderly persons and persons with a disability who are survivors of sexual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420.031, Government Code, is amended by adding subsection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sexual assault examiner and sexual assault nurse examiner as defined in Section 420.003 of this chapter may provide upon request medical care to and collect forensic evidence for survivors of sexual assault who are incapacitated 14 years of age or older, regardless of whether or not the legal guardian of a survivor as defined by Chapter 1002, Estates Code consents.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sexual assault examiner and sexual assault nurse examiner defined in Section 420.003 of this chapter may provide upon request medical care to and collect forensic evidence for survivors of sexual assault who are wards, as that term is defined by Chapter 1002, Estates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420.072(c),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communication, a record, or evidence that is confidential under this subchapter may not be disclosed to a parent or legal guardian of a survivor [</w:t>
      </w:r>
      <w:r>
        <w:rPr>
          <w:strike/>
        </w:rPr>
        <w:t xml:space="preserve">who is a minor</w:t>
      </w:r>
      <w:r>
        <w:t xml:space="preserve">] if an advocate or a sexual assault program knows or has reason to believe that the parent or legal guardian of the survivor is a suspect </w:t>
      </w:r>
      <w:r>
        <w:rPr>
          <w:u w:val="single"/>
        </w:rPr>
        <w:t xml:space="preserve">or accomplice</w:t>
      </w:r>
      <w:r>
        <w:t xml:space="preserve"> in the sexual assault of the survivor.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420.073,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Consent for the release of confidential information other than evidence contained in an evidence collection kit must be in writing and signed by the survivor, a parent or legal guardian if the survivor is a minor, [</w:t>
      </w:r>
      <w:r>
        <w:rPr>
          <w:strike/>
        </w:rPr>
        <w:t xml:space="preserve">a legal guardian if the survivor has been adjudicated incompetent to manage the survivor's personal affairs,</w:t>
      </w:r>
      <w:r>
        <w:t xml:space="preserve">] an attorney ad litem appointed for the survivor, or a personal representative if the survivor is deceased. The written consent must specify:</w:t>
      </w:r>
    </w:p>
    <w:p w:rsidR="003F3435" w:rsidRDefault="0032493E">
      <w:pPr>
        <w:spacing w:line="480" w:lineRule="auto"/>
        <w:ind w:firstLine="1440"/>
        <w:jc w:val="both"/>
      </w:pPr>
      <w:r>
        <w:t xml:space="preserve">(1)</w:t>
      </w:r>
      <w:r xml:space="preserve">
        <w:t> </w:t>
      </w:r>
      <w:r xml:space="preserve">
        <w:t> </w:t>
      </w:r>
      <w:r>
        <w:t xml:space="preserve">the information or records covered by the release;</w:t>
      </w:r>
    </w:p>
    <w:p w:rsidR="003F3435" w:rsidRDefault="0032493E">
      <w:pPr>
        <w:spacing w:line="480" w:lineRule="auto"/>
        <w:ind w:firstLine="1440"/>
        <w:jc w:val="both"/>
      </w:pPr>
      <w:r>
        <w:t xml:space="preserve">(2)</w:t>
      </w:r>
      <w:r xml:space="preserve">
        <w:t> </w:t>
      </w:r>
      <w:r xml:space="preserve">
        <w:t> </w:t>
      </w:r>
      <w:r>
        <w:t xml:space="preserve">the reason or purpose for the release; and</w:t>
      </w:r>
    </w:p>
    <w:p w:rsidR="003F3435" w:rsidRDefault="0032493E">
      <w:pPr>
        <w:spacing w:line="480" w:lineRule="auto"/>
        <w:ind w:firstLine="1440"/>
        <w:jc w:val="both"/>
      </w:pPr>
      <w:r>
        <w:t xml:space="preserve">(3)</w:t>
      </w:r>
      <w:r xml:space="preserve">
        <w:t> </w:t>
      </w:r>
      <w:r xml:space="preserve">
        <w:t> </w:t>
      </w:r>
      <w:r>
        <w:t xml:space="preserve">the person to whom the information is to be released.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(a), a written consent signed by a survivor who is an incapacitated person 14 years of age or older, as that term is defined by Chapter 1002, Estates Code, is effective regardless of whether the incapacitated person's guardian, guardian ad litem, or other legal agent signs the release. If the incapacitated person is unable to provide a signature and the guardian, guardian ad litem, or other legal agent is unavailable or declines to sign the release, then the investigating law enforcement officer may sign the release.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420.0735(b),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Subsection (a)(1), a written consent signed by an incapacitated person, as that term is defined by Chapter 1002, Estates Code, is effective regardless of whether the incapacitated person's guardian, guardian ad litem, or other legal agent signs the release. If the incapacitated person is unable to provide a signature and the guardian, guardian ad litem, or other legal agent is unavailable </w:t>
      </w:r>
      <w:r>
        <w:rPr>
          <w:u w:val="single"/>
        </w:rPr>
        <w:t xml:space="preserve">or declines</w:t>
      </w:r>
      <w:r>
        <w:t xml:space="preserve"> to sign the release, then the investigating law enforcement officer may sign the release.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