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structure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2210.0741(a), Insurance Code, is amended to read as follows:</w:t>
      </w:r>
    </w:p>
    <w:p w:rsidR="003F3435" w:rsidRDefault="0032493E">
      <w:pPr>
        <w:spacing w:line="480" w:lineRule="auto"/>
        <w:ind w:firstLine="720"/>
        <w:jc w:val="both"/>
      </w:pPr>
      <w:r>
        <w:t xml:space="preserve">(a)</w:t>
      </w:r>
      <w:r xml:space="preserve">
        <w:t> </w:t>
      </w:r>
      <w:r xml:space="preserve">
        <w:t> </w:t>
      </w:r>
      <w:r>
        <w:t xml:space="preserve">Losses not paid under Sections 2210.0715, 2210.072, 2210.0725, 2210.073, and 2210.074 </w:t>
      </w:r>
      <w:r>
        <w:rPr>
          <w:u w:val="single"/>
        </w:rPr>
        <w:t xml:space="preserve">and, if applicable, 2210.0743</w:t>
      </w:r>
      <w:r>
        <w:t xml:space="preserve"> shall be paid as provided by this section from the proceeds from Class 3 public securities authorized to be issued in accordance with Subchapter M on or after the date of any occurrence or series of occurrences that results in insured losses. Public securities issued under this section must be paid within a period not to exceed 10 years, and may be paid sooner if the board of directors elects to do so and the commissioner approves.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2210.0742(a), Insurance Code, is amended to read as follows:</w:t>
      </w:r>
    </w:p>
    <w:p w:rsidR="003F3435" w:rsidRDefault="0032493E">
      <w:pPr>
        <w:spacing w:line="480" w:lineRule="auto"/>
        <w:ind w:firstLine="720"/>
        <w:jc w:val="both"/>
      </w:pPr>
      <w:r>
        <w:t xml:space="preserve">(a)</w:t>
      </w:r>
      <w:r xml:space="preserve">
        <w:t> </w:t>
      </w:r>
      <w:r xml:space="preserve">
        <w:t> </w:t>
      </w:r>
      <w:r>
        <w:t xml:space="preserve">Losses in a catastrophe year not paid under Sections 2210.0715, 2210.072, 2210.0725, 2210.073, 2210.074, and 2210.0741 </w:t>
      </w:r>
      <w:r>
        <w:rPr>
          <w:u w:val="single"/>
        </w:rPr>
        <w:t xml:space="preserve">and, if applicable, 2210.0743</w:t>
      </w:r>
      <w:r>
        <w:t xml:space="preserve"> shall be paid as provided by this section from Class 3 member assessments not to exceed $250 million for that catastrophe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B-1, Chapter 2210, Insurance Code, is amended by adding Section 2210.0743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2210.0743.</w:t>
      </w:r>
      <w:r>
        <w:rPr>
          <w:u w:val="single"/>
        </w:rPr>
        <w:t xml:space="preserve"> </w:t>
      </w:r>
      <w:r>
        <w:rPr>
          <w:u w:val="single"/>
        </w:rPr>
        <w:t xml:space="preserve"> </w:t>
      </w:r>
      <w:r>
        <w:rPr>
          <w:u w:val="single"/>
        </w:rPr>
        <w:t xml:space="preserve">PAYMENT IN CERTAIN CIRCUMSTANCES.  If the balance of the catastrophe reserve trust fund is less than $500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3 public securities may not be issued until reinsurance proceeds under Section 2210.453(d) are exhausted;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may not assess members for Class 3 assessments until reinsurance proceeds under Section 2210.453(d) are exhausted;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losses not paid under Sections 2210.0715, 2210.072, 2210.0725, 2210.073, and 2210.074 must be paid by reinsurance or an alternative risk financing mechanism under Section 2210.453(d).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2210.453,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attachment point for reinsurance purchased under this section may not be less than the aggregate amount of all funding available to the association under Subchapter 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balance of the catastrophe reserve trust fund is less than $500 million, the association shall maintain reinsurance or an alternate risk financing mechanism for the period covered by the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attachment point not less than the aggregate amount of all the funding available to the association under Sections 2210.0715, 2210.072, 2210.0725, 2210.073, and 2210.074;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total available loss funding not less than the probable maximum loss for the association for a catastrophe year with a probability of one in 100.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Windstorm Insurance Association shall amend the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