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86R2668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certain temporary branch early voting polling places.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85.062, Election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county with a population of 100,000 or more, the location of a movable temporary branch polling place established under this section may be changed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once during the early voting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at least half of the early voting period has concluded.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