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4541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the Texas Facilities Commission over certain real property owned by the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2166.052, Government Code, is amended by amending Subsection (b) and adding Subsections (d), (e), (f), (g), (h), and (i) to read as follows:</w:t>
      </w:r>
    </w:p>
    <w:p w:rsidR="003F3435" w:rsidRDefault="0032493E">
      <w:pPr>
        <w:spacing w:line="480" w:lineRule="auto"/>
        <w:ind w:firstLine="720"/>
        <w:jc w:val="both"/>
      </w:pPr>
      <w:r>
        <w:t xml:space="preserve">(b)</w:t>
      </w:r>
      <w:r xml:space="preserve">
        <w:t> </w:t>
      </w:r>
      <w:r xml:space="preserve">
        <w:t> </w:t>
      </w:r>
      <w:r>
        <w:t xml:space="preserve">The commission may not sell or otherwise dispose of real property of the state except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real property located in the Capitol Complex,</w:t>
      </w:r>
      <w:r>
        <w:t xml:space="preserve"> by specific authority:</w:t>
      </w:r>
    </w:p>
    <w:p w:rsidR="003F3435" w:rsidRDefault="0032493E">
      <w:pPr>
        <w:spacing w:line="480" w:lineRule="auto"/>
        <w:ind w:firstLine="2160"/>
        <w:jc w:val="both"/>
      </w:pPr>
      <w:r>
        <w:rPr>
          <w:u w:val="single"/>
        </w:rPr>
        <w:t xml:space="preserve">(A)</w:t>
      </w:r>
      <w:r xml:space="preserve">
        <w:t> </w:t>
      </w:r>
      <w:r>
        <w:t xml:space="preserve">[</w:t>
      </w:r>
      <w:r>
        <w:rPr>
          <w:strike/>
        </w:rPr>
        <w:t xml:space="preserve">(1)</w:t>
      </w:r>
      <w:r>
        <w:t xml:space="preserve">]</w:t>
      </w:r>
      <w:r xml:space="preserve">
        <w:t> </w:t>
      </w:r>
      <w:r xml:space="preserve">
        <w:t> </w:t>
      </w:r>
      <w:r>
        <w:t xml:space="preserve">granted by the legislature if the legislature is in session; or</w:t>
      </w:r>
    </w:p>
    <w:p w:rsidR="003F3435" w:rsidRDefault="0032493E">
      <w:pPr>
        <w:spacing w:line="480" w:lineRule="auto"/>
        <w:ind w:firstLine="2160"/>
        <w:jc w:val="both"/>
      </w:pPr>
      <w:r>
        <w:rPr>
          <w:u w:val="single"/>
        </w:rPr>
        <w:t xml:space="preserve">(B)</w:t>
      </w:r>
      <w:r xml:space="preserve">
        <w:t> </w:t>
      </w:r>
      <w:r>
        <w:t xml:space="preserve">[</w:t>
      </w:r>
      <w:r>
        <w:rPr>
          <w:strike/>
        </w:rPr>
        <w:t xml:space="preserve">(2)</w:t>
      </w:r>
      <w:r>
        <w:t xml:space="preserve">]</w:t>
      </w:r>
      <w:r xml:space="preserve">
        <w:t> </w:t>
      </w:r>
      <w:r xml:space="preserve">
        <w:t> </w:t>
      </w:r>
      <w:r>
        <w:t xml:space="preserve">granted jointly by the governor and the Legislative Budget Board if the legislature is not in session</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real property of the state other than the property described by Subdivision (1):</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specific authority</w:t>
      </w:r>
      <w:r>
        <w:rPr>
          <w:u w:val="single"/>
        </w:rPr>
        <w:t xml:space="preserve"> </w:t>
      </w:r>
      <w:r>
        <w:rPr>
          <w:u w:val="single"/>
        </w:rPr>
        <w:t xml:space="preserve">granted by the legislature if the legislature is in session;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subject to Subsection (e), through formal notification to the governor and the Legislative Budget Board if the legislature is not in session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When considering a sale of real property of the state subject to Subsection (b)(2), the commission shall submit a formal notification of the intent to sell the property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Legislative Budget Board;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each state senator and representative in whose district the property is located.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may disapprove the sale of real property of the state subject to Subsection (b)(2) by providing written notice of the disapproval to the commission not later than the 90th day after the date the governor receives the formal notification required by Subsection (d).</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On request by the commission, the General Land Office shall negotiate and close a sale of real property of the state under this section on behalf of the commission using procedures established in Section 31.158(c), Natural Resources Code, except the land office is not required to offer the School Land Board the first option to purchase the real property.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Each transfer of an interest in real property of the state under this section must be made by an instrument signed by the executive director of the commission and the governor.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proceeds from the sale, lease, or other disposition of real property of the state under this section shall be deposited to the Texas capital trust fund established under Chapter 2201 and dedicated to the acquisition, construction, repair, and improvement of state facilities. Before depositing proceeds in the fund, the commission may recover from the proceeds all amounts spent by the commission for management, acquisition, and disposition expenses.</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Sections 403.095 and 2201.003(b) do not apply to proceeds deposited in the Texas capital trust fund in accordance with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4541 was passed by the House on May 3, 2019, by the following vote:</w:t>
      </w:r>
      <w:r xml:space="preserve">
        <w:t> </w:t>
      </w:r>
      <w:r xml:space="preserve">
        <w:t> </w:t>
      </w:r>
      <w:r>
        <w:t xml:space="preserve">Yeas 139, Nays 1,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4541 was passed by the Senate on May 22,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4541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