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control of coyotes.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825, Health and Safety Code, is amended by adding Subchapter D to read as follows:</w:t>
      </w:r>
    </w:p>
    <w:p w:rsidR="003F3435" w:rsidRDefault="0032493E">
      <w:pPr>
        <w:spacing w:line="480" w:lineRule="auto"/>
        <w:jc w:val="center"/>
      </w:pPr>
      <w:r>
        <w:rPr>
          <w:u w:val="single"/>
        </w:rPr>
        <w:t xml:space="preserve">SUBCHAPTER D. CONTROL OF PREDATORY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825.051.</w:t>
      </w:r>
      <w:r>
        <w:rPr>
          <w:u w:val="single"/>
        </w:rPr>
        <w:t xml:space="preserve"> </w:t>
      </w:r>
      <w:r>
        <w:rPr>
          <w:u w:val="single"/>
        </w:rPr>
        <w:t xml:space="preserve"> </w:t>
      </w:r>
      <w:r>
        <w:rPr>
          <w:u w:val="single"/>
        </w:rPr>
        <w:t xml:space="preserve">MUNICIPAL CONTROL OF COYOTES.  A municipality with a population density of more than 2,500 persons per square  mile may capture, relocate, or euthanize a coyote located within the municipality or the municipality's extraterritorial jurisdiction. </w:t>
      </w:r>
      <w:r>
        <w:rPr>
          <w:u w:val="single"/>
        </w:rPr>
        <w:t xml:space="preserve"> </w:t>
      </w:r>
      <w:r>
        <w:rPr>
          <w:u w:val="single"/>
        </w:rPr>
        <w:t xml:space="preserve">The municipality may request assistance from Texas Wildlife Services to capture, relocate, or euthanize a coyote.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