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86R14203 JES-F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Raymond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4546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applicability of certain requirements and restrictions on funding for before-school and after-school programs established by school districts.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33.9031, Education Code, is amended by amending Subsection (c) and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school district shall conduct a request for proposals procurement process to enable the district to determine if contracting with a </w:t>
      </w:r>
      <w:r>
        <w:rPr>
          <w:u w:val="single"/>
        </w:rPr>
        <w:t xml:space="preserve">licensed</w:t>
      </w:r>
      <w:r>
        <w:t xml:space="preserve"> child-care facility </w:t>
      </w:r>
      <w:r>
        <w:rPr>
          <w:u w:val="single"/>
        </w:rPr>
        <w:t xml:space="preserve">or a facility or program that is exempt from the child-care licensing requirements under Section 42.041, Human Resources Code,</w:t>
      </w:r>
      <w:r>
        <w:t xml:space="preserve"> that provides a before-school or after-school program, as defined by Section 42.002, Human Resources Code, to provide the district's before-school or after-school program would serve the district's best interests. Following the request for proposals procurement process, the district may enter into a contract with a child-care facility or implement a before-school or after-school program operated by the district. If the district enters into a contract with a child-care facility, the contract must comply with the requirements of Section 44.031 and may not exceed a term of three years.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school district may not use Foundation School Program funds to establish or operate a before-school or after-school program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4546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