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86R5467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4550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children for the Medicaid and child health plan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531.02444,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develop and implement:</w:t>
      </w:r>
    </w:p>
    <w:p w:rsidR="003F3435" w:rsidRDefault="0032493E">
      <w:pPr>
        <w:spacing w:line="480" w:lineRule="auto"/>
        <w:ind w:firstLine="1440"/>
        <w:jc w:val="both"/>
      </w:pPr>
      <w:r>
        <w:t xml:space="preserve">(1)</w:t>
      </w:r>
      <w:r xml:space="preserve">
        <w:t> </w:t>
      </w:r>
      <w:r xml:space="preserve">
        <w:t> </w:t>
      </w:r>
      <w:r>
        <w:t xml:space="preserve">a Medicaid buy-in program for persons with disabilities as authorized by the Ticket to Work and Work Incentives Improvement Act of 1999 (Pub. L. No. 106-170) or the Balanced Budget Act of 1997 (Pub. L. No. 105-33);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(a-1)</w:t>
      </w:r>
      <w:r>
        <w:t xml:space="preserve"> as authorized by the Deficit Reduction Act of 2005 (Pub. L. No. 109-171), a Medicaid buy-in program for children with disabilities that is described by 42 U.S.C. Section 1396a(cc)(1) whose family incomes do not exceed 300 percent of the applicable federal poverty level.</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executive commissioner may by rule increase the percentage rate prescribed by Subsection (a)(2) to a rate the executive commissioner determines appropriate taking into account the income eligibility cap set under Section 32.024(l)(3),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62.101(b),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establish income eligibility levels consistent with Title XXI, Social Security Act (42 U.S.C. Section 1397aa et seq.), as amended, and any other applicable law or regulations, and subject to the availability of appropriated money, so that a child who is younger than 19 years of age and whose household income is at or below </w:t>
      </w:r>
      <w:r>
        <w:rPr>
          <w:u w:val="single"/>
        </w:rPr>
        <w:t xml:space="preserve">376</w:t>
      </w:r>
      <w:r>
        <w:t xml:space="preserve"> [</w:t>
      </w:r>
      <w:r>
        <w:rPr>
          <w:strike/>
        </w:rPr>
        <w:t xml:space="preserve">200</w:t>
      </w:r>
      <w:r>
        <w:t xml:space="preserve">] percent of the federal poverty level is eligible for health benefits coverage under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62.102(b),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During the sixth month following the date of initial enrollment or reenrollment of an individual whose household income exceeds </w:t>
      </w:r>
      <w:r>
        <w:rPr>
          <w:u w:val="single"/>
        </w:rPr>
        <w:t xml:space="preserve">348</w:t>
      </w:r>
      <w:r>
        <w:t xml:space="preserve"> [</w:t>
      </w:r>
      <w:r>
        <w:rPr>
          <w:strike/>
        </w:rPr>
        <w:t xml:space="preserve">185</w:t>
      </w:r>
      <w:r>
        <w:t xml:space="preserve">] percent of the federal poverty level, the commission shall:</w:t>
      </w:r>
    </w:p>
    <w:p w:rsidR="003F3435" w:rsidRDefault="0032493E">
      <w:pPr>
        <w:spacing w:line="480" w:lineRule="auto"/>
        <w:ind w:firstLine="1440"/>
        <w:jc w:val="both"/>
      </w:pPr>
      <w:r>
        <w:t xml:space="preserve">(1)</w:t>
      </w:r>
      <w:r xml:space="preserve">
        <w:t> </w:t>
      </w:r>
      <w:r xml:space="preserve">
        <w:t> </w:t>
      </w:r>
      <w:r>
        <w:t xml:space="preserve">review the individual's household income and may use electronic technology if available and appropriate; and</w:t>
      </w:r>
    </w:p>
    <w:p w:rsidR="003F3435" w:rsidRDefault="0032493E">
      <w:pPr>
        <w:spacing w:line="480" w:lineRule="auto"/>
        <w:ind w:firstLine="1440"/>
        <w:jc w:val="both"/>
      </w:pPr>
      <w:r>
        <w:t xml:space="preserve">(2)</w:t>
      </w:r>
      <w:r xml:space="preserve">
        <w:t> </w:t>
      </w:r>
      <w:r xml:space="preserve">
        <w:t> </w:t>
      </w:r>
      <w:r>
        <w:t xml:space="preserve">continue to provide coverage if the individual's household income does not exceed the income eligibility limits prescribed by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32.024(l), Human Resources Code, is amended to read as follows:</w:t>
      </w:r>
    </w:p>
    <w:p w:rsidR="003F3435" w:rsidRDefault="0032493E">
      <w:pPr>
        <w:spacing w:line="480" w:lineRule="auto"/>
        <w:ind w:firstLine="720"/>
        <w:jc w:val="both"/>
      </w:pPr>
      <w:r>
        <w:t xml:space="preserve">(l)</w:t>
      </w:r>
      <w:r xml:space="preserve">
        <w:t> </w:t>
      </w:r>
      <w:r xml:space="preserve">
        <w:t> </w:t>
      </w:r>
      <w:r>
        <w:t xml:space="preserve">The executive commissioner shall set the income eligibility cap for medical assistance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pregnant women [</w:t>
      </w:r>
      <w:r>
        <w:rPr>
          <w:strike/>
        </w:rPr>
        <w:t xml:space="preserve">and infants up to age one</w:t>
      </w:r>
      <w:r>
        <w:t xml:space="preserve">] at not less than 130 percent of the federal poverty guidelines</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Subdivision (3), children under 19 years of age at not less than 250 percent of the federal poverty guidelines;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children under 19 years of age with a disability at not less than 300 percent of the federal poverty guidelines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an additional waiver or additional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