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86R11460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Dallas</w:t>
      </w:r>
      <w:r xml:space="preserve">
        <w:tab wTab="150" tlc="none" cTlc="0"/>
      </w:r>
      <w:r>
        <w:t xml:space="preserve">H.B.</w:t>
      </w:r>
      <w:r xml:space="preserve">
        <w:t> </w:t>
      </w:r>
      <w:r>
        <w:t xml:space="preserve">No.</w:t>
      </w:r>
      <w:r xml:space="preserve">
        <w:t> </w:t>
      </w:r>
      <w:r>
        <w:t xml:space="preserve">4557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disclosure of coverage for water damage in connection with a residential property insurance policy.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2002, Insurance Code, is amended by adding Section 2002.103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2002.103.</w:t>
      </w:r>
      <w:r>
        <w:rPr>
          <w:u w:val="single"/>
        </w:rPr>
        <w:t xml:space="preserve"> </w:t>
      </w:r>
      <w:r>
        <w:rPr>
          <w:u w:val="single"/>
        </w:rPr>
        <w:t xml:space="preserve"> </w:t>
      </w:r>
      <w:r>
        <w:rPr>
          <w:u w:val="single"/>
        </w:rPr>
        <w:t xml:space="preserve">REQUIRED DISCLOSURE REGARDING COVERAGE LIMITS FOR WATER DAMAGE.  (a)  In this section, "residential property insurance" has the meaning assigned by Section 2301.002.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accepting any premium or fee for a residential property insurance policy, an agent or insurer, including a county mutual insurance company, must make the following disclosure, orally and in writing, to the applicant or insured:</w:t>
      </w:r>
    </w:p>
    <w:p w:rsidR="003F3435" w:rsidRDefault="0032493E">
      <w:pPr>
        <w:spacing w:line="480" w:lineRule="auto"/>
        <w:jc w:val="both"/>
      </w:pPr>
      <w:r>
        <w:rPr>
          <w:u w:val="single"/>
        </w:rPr>
        <w:t xml:space="preserve">WARNING: THIS POLICY CONTAINS IMPORTANT LIMITS ON COVERAGE FOR WATER DAMAGE.  WATER DAMAGE POLICY LIMITS CAN BE FOUND AT (PAGE OR ENDORSEMENT).  CAREFULLY REVIEW THESE LIMITS.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accepting any premium or fee for a residential property insurance policy, an agent or insurer, including a county mutual insurance company, must receive a copy of the disclosure described by Subsection (b) that is signed by the applicant or insured.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agent or insurer shall require the applicant or insured to confirm contemporaneously in writing the provision of oral disclosure pursuant to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an insurance policy that is delivered, issued for delivery, or renewed on or after January 1, 2020.  A policy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