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86R989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4565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relocation of certain licensed pawnshops.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371.059(b), Finance Code, is amended to read as follows:</w:t>
      </w:r>
    </w:p>
    <w:p w:rsidR="003F3435" w:rsidRDefault="0032493E">
      <w:pPr>
        <w:spacing w:line="480" w:lineRule="auto"/>
        <w:ind w:firstLine="720"/>
        <w:jc w:val="both"/>
      </w:pPr>
      <w:r>
        <w:t xml:space="preserve">(b)</w:t>
      </w:r>
      <w:r xml:space="preserve">
        <w:t> </w:t>
      </w:r>
      <w:r xml:space="preserve">
        <w:t> </w:t>
      </w:r>
      <w:r>
        <w:t xml:space="preserve">In a county with a population of 250,000 or more, the commissioner shall approve an application for:</w:t>
      </w:r>
    </w:p>
    <w:p w:rsidR="003F3435" w:rsidRDefault="0032493E">
      <w:pPr>
        <w:spacing w:line="480" w:lineRule="auto"/>
        <w:ind w:firstLine="1440"/>
        <w:jc w:val="both"/>
      </w:pPr>
      <w:r>
        <w:t xml:space="preserve">(1)</w:t>
      </w:r>
      <w:r xml:space="preserve">
        <w:t> </w:t>
      </w:r>
      <w:r xml:space="preserve">
        <w:t> </w:t>
      </w:r>
      <w:r>
        <w:t xml:space="preserve">an original license to operate a pawnshop at a facility that is not an existing licensed pawnshop at the time the application is filed if the proposed facility is not located within two miles of a licensed pawnshop;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relocation of a licensed pawnshop to a facility that [</w:t>
      </w:r>
      <w:r>
        <w:rPr>
          <w:strike/>
        </w:rPr>
        <w:t xml:space="preserve">is not an existing licensed pawnshop</w:t>
      </w:r>
      <w:r>
        <w:t xml:space="preserve">] at the time the application is filed [</w:t>
      </w:r>
      <w:r>
        <w:rPr>
          <w:strike/>
        </w:rPr>
        <w:t xml:space="preserve">if the facility where the pawnshop is to be relocated</w:t>
      </w:r>
      <w:r>
        <w:t xml:space="preserve">] is not located within one mile of a licensed pawnshop[</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relocation of a licensed pawnshop if at the time the application is filed the pawnshop has been in operation at its current location for at least three years, and the facility where the pawnshop is to be relocated is either within one mile of its existing location or, if in excess of one mile from its existing location, not within one mile of another existing operating pawnshop</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371.059(c), Finance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371.059, Finance Code, as amended by this Act, applies only to an application for the relocation of a pawnshop filed on or after the effective date of this Act.  An application for the relocation of a pawnshop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