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independent provider health plan monitor for certain appeals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533, Government Code, is amended by adding Subchapter F to read as follows:</w:t>
      </w:r>
    </w:p>
    <w:p w:rsidR="003F3435" w:rsidRDefault="0032493E">
      <w:pPr>
        <w:spacing w:line="480" w:lineRule="auto"/>
        <w:jc w:val="center"/>
      </w:pPr>
      <w:r>
        <w:rPr>
          <w:u w:val="single"/>
        </w:rPr>
        <w:t xml:space="preserve">SUBCHAPTER F. INDEPENDENT PROVIDER HEALTH PLAN MONITOR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533.301.</w:t>
      </w:r>
      <w:r>
        <w:rPr>
          <w:u w:val="single"/>
        </w:rPr>
        <w:t xml:space="preserve"> </w:t>
      </w:r>
      <w:r>
        <w:rPr>
          <w:u w:val="single"/>
        </w:rPr>
        <w:t xml:space="preserve"> </w:t>
      </w:r>
      <w:r>
        <w:rPr>
          <w:u w:val="single"/>
        </w:rPr>
        <w:t xml:space="preserve">DEFINITION.  In this subchapter, "monitor" means the person serving as the independent provider health plan monitor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533.302.</w:t>
      </w:r>
      <w:r>
        <w:rPr>
          <w:u w:val="single"/>
        </w:rPr>
        <w:t xml:space="preserve"> </w:t>
      </w:r>
      <w:r>
        <w:rPr>
          <w:u w:val="single"/>
        </w:rPr>
        <w:t xml:space="preserve"> </w:t>
      </w:r>
      <w:r>
        <w:rPr>
          <w:u w:val="single"/>
        </w:rPr>
        <w:t xml:space="preserve">ESTABLISHMENT.  (a)  The commission shall establish the position of independent provider health plan monitor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provider health plan monitor shall create an independent review process that utilizes the standards of the Independent Review Organization process under Section 4202.002, Texas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533.303.</w:t>
      </w:r>
      <w:r>
        <w:rPr>
          <w:u w:val="single"/>
        </w:rPr>
        <w:t xml:space="preserve"> </w:t>
      </w:r>
      <w:r>
        <w:rPr>
          <w:u w:val="single"/>
        </w:rPr>
        <w:t xml:space="preserve"> </w:t>
      </w:r>
      <w:r>
        <w:rPr>
          <w:u w:val="single"/>
        </w:rPr>
        <w:t xml:space="preserve">REVIEW OF CORRECTIVE ACTIONS.  (a)  A health care provider in the managed care organization's provider network may petition the monitor in the form and manner provided by commission rule to review a corrective action taken by a managed care organization that is not agreed to by the provider in connection with, but not limited to, pre-authorization denials, reimbursement, standard of care, a claim payment denial, disagreement about medical or treatment necessity, or compliance with commission rules and contractual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monitor shall review a case submitted under Subsection (a) and issue a decision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533.304.</w:t>
      </w:r>
      <w:r>
        <w:rPr>
          <w:u w:val="single"/>
        </w:rPr>
        <w:t xml:space="preserve"> </w:t>
      </w:r>
      <w:r>
        <w:rPr>
          <w:u w:val="single"/>
        </w:rPr>
        <w:t xml:space="preserve"> </w:t>
      </w:r>
      <w:r>
        <w:rPr>
          <w:u w:val="single"/>
        </w:rPr>
        <w:t xml:space="preserve">PROCEDURES.  (a)  The monitor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submission of a petition under Section 533.303 to the party opposing the party that submitted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opposing party to submit evidence to the monitor not later than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10th day after the monitor provided the notice for petitions involving pre-authorizations, or medical or treatment necessity denials,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30th day after the date the monitor provided the notice for all other petitions.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deadline for the submission of evidence under Subsection (a), the monitor shall provide written notice to the parties of the monitor's decision for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the review process or an appeal by either a provider or the managed care organization is ongoing, the managed care organization shall not recoup any funds or otherwise penalize a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reaching a decision under Subsection (b), the monitor shall conduct interviews with all relevant parties and review any submitted documentation and other evidence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organization complied with:</w:t>
      </w:r>
    </w:p>
    <w:p w:rsidR="003F3435" w:rsidRDefault="0032493E">
      <w:pPr>
        <w:spacing w:line="480" w:lineRule="auto"/>
        <w:ind w:firstLine="2880"/>
        <w:jc w:val="both"/>
      </w:pPr>
      <w:r>
        <w:rPr>
          <w:u w:val="single"/>
        </w:rPr>
        <w:t xml:space="preserve">(A)</w:t>
      </w:r>
      <w:r>
        <w:rPr>
          <w:u w:val="single"/>
        </w:rPr>
        <w:t xml:space="preserve"> </w:t>
      </w:r>
      <w:r>
        <w:rPr>
          <w:u w:val="single"/>
        </w:rPr>
        <w:t xml:space="preserve"> </w:t>
      </w:r>
      <w:r>
        <w:rPr>
          <w:u w:val="single"/>
        </w:rPr>
        <w:t xml:space="preserve">applicable commission rules; and</w:t>
      </w:r>
    </w:p>
    <w:p w:rsidR="003F3435" w:rsidRDefault="0032493E">
      <w:pPr>
        <w:spacing w:line="480" w:lineRule="auto"/>
        <w:ind w:firstLine="2880"/>
        <w:jc w:val="both"/>
      </w:pPr>
      <w:r>
        <w:rPr>
          <w:u w:val="single"/>
        </w:rPr>
        <w:t xml:space="preserve">(B)</w:t>
      </w:r>
      <w:r>
        <w:rPr>
          <w:u w:val="single"/>
        </w:rPr>
        <w:t xml:space="preserve"> </w:t>
      </w:r>
      <w:r>
        <w:rPr>
          <w:u w:val="single"/>
        </w:rPr>
        <w:t xml:space="preserve"> </w:t>
      </w:r>
      <w:r>
        <w:rPr>
          <w:u w:val="single"/>
        </w:rPr>
        <w:t xml:space="preserve">the organization's internal policies and procedures for auditing or taking a corrective action against a health care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care provider:</w:t>
      </w:r>
    </w:p>
    <w:p w:rsidR="003F3435" w:rsidRDefault="0032493E">
      <w:pPr>
        <w:spacing w:line="480" w:lineRule="auto"/>
        <w:ind w:firstLine="2880"/>
        <w:jc w:val="both"/>
      </w:pPr>
      <w:r>
        <w:rPr>
          <w:u w:val="single"/>
        </w:rPr>
        <w:t xml:space="preserve">(A)</w:t>
      </w:r>
      <w:r>
        <w:rPr>
          <w:u w:val="single"/>
        </w:rPr>
        <w:t xml:space="preserve"> </w:t>
      </w:r>
      <w:r>
        <w:rPr>
          <w:u w:val="single"/>
        </w:rPr>
        <w:t xml:space="preserve"> </w:t>
      </w:r>
      <w:r>
        <w:rPr>
          <w:u w:val="single"/>
        </w:rPr>
        <w:t xml:space="preserve">complied with applicable commission rules;</w:t>
      </w:r>
    </w:p>
    <w:p w:rsidR="003F3435" w:rsidRDefault="0032493E">
      <w:pPr>
        <w:spacing w:line="480" w:lineRule="auto"/>
        <w:ind w:firstLine="2880"/>
        <w:jc w:val="both"/>
      </w:pPr>
      <w:r>
        <w:rPr>
          <w:u w:val="single"/>
        </w:rPr>
        <w:t xml:space="preserve">(B)</w:t>
      </w:r>
      <w:r>
        <w:rPr>
          <w:u w:val="single"/>
        </w:rPr>
        <w:t xml:space="preserve"> </w:t>
      </w:r>
      <w:r>
        <w:rPr>
          <w:u w:val="single"/>
        </w:rPr>
        <w:t xml:space="preserve"> </w:t>
      </w:r>
      <w:r>
        <w:rPr>
          <w:u w:val="single"/>
        </w:rPr>
        <w:t xml:space="preserve">submitted required documentation in accordance with the law; and</w:t>
      </w:r>
    </w:p>
    <w:p w:rsidR="003F3435" w:rsidRDefault="0032493E">
      <w:pPr>
        <w:spacing w:line="480" w:lineRule="auto"/>
        <w:ind w:firstLine="2880"/>
        <w:jc w:val="both"/>
      </w:pPr>
      <w:r>
        <w:rPr>
          <w:u w:val="single"/>
        </w:rPr>
        <w:t xml:space="preserve">(C)</w:t>
      </w:r>
      <w:r>
        <w:rPr>
          <w:u w:val="single"/>
        </w:rPr>
        <w:t xml:space="preserve"> </w:t>
      </w:r>
      <w:r>
        <w:rPr>
          <w:u w:val="single"/>
        </w:rPr>
        <w:t xml:space="preserve"> </w:t>
      </w:r>
      <w:r>
        <w:rPr>
          <w:u w:val="single"/>
        </w:rPr>
        <w:t xml:space="preserve">engaged with a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decision made by the monitor shall be binding unless appealed by the provider or the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adverse decision against a managed care organization shall be registered as a verified complaint within the commission's system and shall be subject to any appropriate penalties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adverse decision against a managed care organization shall be subject to the prompt payment penalty from the beginning date of the late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533.305.</w:t>
      </w:r>
      <w:r>
        <w:rPr>
          <w:u w:val="single"/>
        </w:rPr>
        <w:t xml:space="preserve"> </w:t>
      </w:r>
      <w:r>
        <w:rPr>
          <w:u w:val="single"/>
        </w:rPr>
        <w:t xml:space="preserve"> </w:t>
      </w:r>
      <w:r>
        <w:rPr>
          <w:u w:val="single"/>
        </w:rPr>
        <w:t xml:space="preserve">APPEAL.  A managed care organization or health care provider may appeal the monitor's decision under Section 533.304 to the State Office of Administrative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533.306.</w:t>
      </w:r>
      <w:r>
        <w:rPr>
          <w:u w:val="single"/>
        </w:rPr>
        <w:t xml:space="preserve"> </w:t>
      </w:r>
      <w:r>
        <w:rPr>
          <w:u w:val="single"/>
        </w:rPr>
        <w:t xml:space="preserve"> </w:t>
      </w:r>
      <w:r>
        <w:rPr>
          <w:u w:val="single"/>
        </w:rPr>
        <w:t xml:space="preserve">REPORT.  The monitor shall compile and provide an annual report to the commission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corrective actions reviewed by the monitor for which petitions were submitted by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corrective actions reviewed by the monitor for which petitions were submitted by a managed care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corrective actions overturned by the monitor;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corrective actions upheld by the monitor;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submissions by health care providers of petitions to the monitor;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money managed care organizations recovered in corrective actions upheld by the monitor;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money reimbursed to health care providers through corrective actions overturned by the monitor.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Subchapter F, Chapter 533, Government Code, as added by this Act, and the commission shall establish the position of independent provider health plan monitor under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