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86R11973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(6), and (7),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right of association" means a communication between individuals who join together to collectively express, promote, pursue, or defend common interests </w:t>
      </w:r>
      <w:r>
        <w:rPr>
          <w:u w:val="single"/>
        </w:rPr>
        <w:t xml:space="preserve">relating to public participation in governmental or official proceedings</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 or equitable relief.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alternative dispute resolution procedure, including arbitration;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petition under Rule 202, Texas Rules of Civil Procedure;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discovery request in litigation, including a subpoena request.</w:t>
      </w:r>
    </w:p>
    <w:p w:rsidR="003F3435" w:rsidRDefault="0032493E">
      <w:pPr>
        <w:spacing w:line="480" w:lineRule="auto"/>
        <w:ind w:firstLine="1440"/>
        <w:jc w:val="both"/>
      </w:pPr>
      <w:r>
        <w:t xml:space="preserve">(7)</w:t>
      </w:r>
      <w:r xml:space="preserve">
        <w:t> </w:t>
      </w:r>
      <w:r xml:space="preserve">
        <w:t> </w:t>
      </w:r>
      <w:r>
        <w:t xml:space="preserve">"Matter of public concern" </w:t>
      </w:r>
      <w:r>
        <w:rPr>
          <w:u w:val="single"/>
        </w:rPr>
        <w:t xml:space="preserve">means a public</w:t>
      </w:r>
      <w:r>
        <w:t xml:space="preserve"> [</w:t>
      </w:r>
      <w:r>
        <w:rPr>
          <w:strike/>
        </w:rPr>
        <w:t xml:space="preserve">includes an</w:t>
      </w:r>
      <w:r>
        <w:t xml:space="preserve">] issue related to:</w:t>
      </w:r>
    </w:p>
    <w:p w:rsidR="003F3435" w:rsidRDefault="0032493E">
      <w:pPr>
        <w:spacing w:line="480" w:lineRule="auto"/>
        <w:ind w:firstLine="2160"/>
        <w:jc w:val="both"/>
      </w:pPr>
      <w:r>
        <w:t xml:space="preserve">(A)</w:t>
      </w:r>
      <w:r xml:space="preserve">
        <w:t> </w:t>
      </w:r>
      <w:r xml:space="preserve">
        <w:t> </w:t>
      </w:r>
      <w:r>
        <w:t xml:space="preserve">health or safety;</w:t>
      </w:r>
    </w:p>
    <w:p w:rsidR="003F3435" w:rsidRDefault="0032493E">
      <w:pPr>
        <w:spacing w:line="480" w:lineRule="auto"/>
        <w:ind w:firstLine="2160"/>
        <w:jc w:val="both"/>
      </w:pPr>
      <w:r>
        <w:t xml:space="preserve">(B)</w:t>
      </w:r>
      <w:r xml:space="preserve">
        <w:t> </w:t>
      </w:r>
      <w:r xml:space="preserve">
        <w:t> </w:t>
      </w:r>
      <w:r>
        <w:t xml:space="preserve">environmental, economic, or community well-being;</w:t>
      </w:r>
    </w:p>
    <w:p w:rsidR="003F3435" w:rsidRDefault="0032493E">
      <w:pPr>
        <w:spacing w:line="480" w:lineRule="auto"/>
        <w:ind w:firstLine="2160"/>
        <w:jc w:val="both"/>
      </w:pPr>
      <w:r>
        <w:t xml:space="preserve">(C)</w:t>
      </w:r>
      <w:r xml:space="preserve">
        <w:t> </w:t>
      </w:r>
      <w:r xml:space="preserve">
        <w:t> </w:t>
      </w:r>
      <w:r>
        <w:t xml:space="preserve">the government;</w:t>
      </w:r>
    </w:p>
    <w:p w:rsidR="003F3435" w:rsidRDefault="0032493E">
      <w:pPr>
        <w:spacing w:line="480" w:lineRule="auto"/>
        <w:ind w:firstLine="2160"/>
        <w:jc w:val="both"/>
      </w:pPr>
      <w:r>
        <w:t xml:space="preserve">(D)</w:t>
      </w:r>
      <w:r xml:space="preserve">
        <w:t> </w:t>
      </w:r>
      <w:r xml:space="preserve">
        <w:t> </w:t>
      </w:r>
      <w:r>
        <w:t xml:space="preserve">a public official or public figure; or</w:t>
      </w:r>
    </w:p>
    <w:p w:rsidR="003F3435" w:rsidRDefault="0032493E">
      <w:pPr>
        <w:spacing w:line="480" w:lineRule="auto"/>
        <w:ind w:firstLine="2160"/>
        <w:jc w:val="both"/>
      </w:pPr>
      <w:r>
        <w:t xml:space="preserve">(E)</w:t>
      </w:r>
      <w:r xml:space="preserve">
        <w:t> </w:t>
      </w:r>
      <w:r xml:space="preserve">
        <w:t> </w:t>
      </w:r>
      <w:r>
        <w:t xml:space="preserve">a good, product, or service in the marketplace.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27.003, Civil Practice and Remedies Code, is amended to read as follows:</w:t>
      </w:r>
    </w:p>
    <w:p w:rsidR="003F3435" w:rsidRDefault="0032493E">
      <w:pPr>
        <w:spacing w:line="480" w:lineRule="auto"/>
        <w:ind w:firstLine="720"/>
        <w:jc w:val="both"/>
      </w:pPr>
      <w:r>
        <w:t xml:space="preserve">Sec.</w:t>
      </w:r>
      <w:r xml:space="preserve">
        <w:t> </w:t>
      </w:r>
      <w:r>
        <w:t xml:space="preserve">27.003.</w:t>
      </w:r>
      <w:r xml:space="preserve">
        <w:t> </w:t>
      </w:r>
      <w:r xml:space="preserve">
        <w:t> </w:t>
      </w:r>
      <w:r>
        <w:t xml:space="preserve">MOTION TO DISMISS</w:t>
      </w:r>
      <w:r>
        <w:rPr>
          <w:u w:val="single"/>
        </w:rPr>
        <w:t xml:space="preserve">; RESPONSE TO MOTION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27.003, Civil Practice and Remedies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27.006(b), on the filing of a motion under this section, all discovery in the legal action </w:t>
      </w:r>
      <w:r>
        <w:rPr>
          <w:u w:val="single"/>
        </w:rPr>
        <w:t xml:space="preserve">related to the claim that is the subject of the motion</w:t>
      </w:r>
      <w:r>
        <w:t xml:space="preserve"> is suspended until the court has ruled on the motion to dismiss.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moving party shall provide written notice of the date and time of a hearing under Section 27.004 not later than the 14th day before the date of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party bringing the legal action that is the subject of a motion under this section may file a response to the motion not later than the seventh day before the date of a hearing described by Section 27.004.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27.005(d),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moving party establishes by a preponderance of the evidence each essential element of a valid defense to the nonmovant's claim</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no material fact in dispute regarding each essential element described by Subdivision (1)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27.006, Civil Practice and Remedies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should be dismissed under this chapter, the court shall consider the pleadings</w:t>
      </w:r>
      <w:r>
        <w:rPr>
          <w:u w:val="single"/>
        </w:rPr>
        <w:t xml:space="preserve">, evidence obtained from discovery,</w:t>
      </w:r>
      <w:r>
        <w:t xml:space="preserve"> and supporting and opposing affidavits stating the facts on which the liability or defense is based.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the amount of any award that may be made under Section 27.009, the court may hear testimony or require the parties to submit affidavits.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27.008, Civil Practice and Remedies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Discovery in the legal action is suspended during an interlocutory appeal under this section only for the part of the legal action that is the subject of the motion under Section 27.003.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intends to appeal any other procedural ruling, the party must include in that appeal the appeal of the trial court's order on the motion to dismiss.</w:t>
      </w:r>
      <w:r>
        <w:t xml:space="preserve"> </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27.009(a),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orders dismissal of a legal action under this chapter, the court </w:t>
      </w:r>
      <w:r>
        <w:rPr>
          <w:u w:val="single"/>
        </w:rPr>
        <w:t xml:space="preserve">may</w:t>
      </w:r>
      <w:r>
        <w:t xml:space="preserve"> [</w:t>
      </w:r>
      <w:r>
        <w:rPr>
          <w:strike/>
        </w:rPr>
        <w:t xml:space="preserve">shall</w:t>
      </w:r>
      <w:r>
        <w:t xml:space="preserve">] award to the moving party:</w:t>
      </w:r>
    </w:p>
    <w:p w:rsidR="003F3435" w:rsidRDefault="0032493E">
      <w:pPr>
        <w:spacing w:line="480" w:lineRule="auto"/>
        <w:ind w:firstLine="1440"/>
        <w:jc w:val="both"/>
      </w:pPr>
      <w:r>
        <w:t xml:space="preserve">(1)</w:t>
      </w:r>
      <w:r xml:space="preserve">
        <w:t> </w:t>
      </w:r>
      <w:r xml:space="preserve">
        <w:t> </w:t>
      </w:r>
      <w:r>
        <w:t xml:space="preserve">court costs, reasonable attorney's fees, and other expenses incurred in defending against the legal action as justice and equity may require;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sanctions against the party who brought the legal action as the court determines sufficient to deter the party who brought the legal action from bringing similar actions described in this chapter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remedies described by Subdivisions (1) and (2)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27.010(b),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 a legal action brought against a person [</w:t>
      </w:r>
      <w:r>
        <w:rPr>
          <w:strike/>
        </w:rPr>
        <w:t xml:space="preserve">primarily</w:t>
      </w:r>
      <w:r>
        <w:t xml:space="preserve">] engaged in the business of selling or leasing goods or services, if the statement or conduct arises out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sale or lease of goods, services, or an insurance product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insurance services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deceptive trade practice under Chapter 17, Business &amp; Commerce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covenant not to compete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27.011, Civil Practice and Remedies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 discovery related to a motion filed before a motion to dismiss under Section 27.003.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51.014(b),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An interlocutory appeal under Subsection (a), other than an appeal under Subsection (a)(4) or in a suit brought under the Family Code, stays the commencement of a trial in the trial court pending resolution of the appeal. An interlocutory appeal under Subsection (a)(3), (5), </w:t>
      </w:r>
      <w:r>
        <w:rPr>
          <w:u w:val="single"/>
        </w:rPr>
        <w:t xml:space="preserve">or</w:t>
      </w:r>
      <w:r>
        <w:t xml:space="preserve"> (8)[</w:t>
      </w:r>
      <w:r>
        <w:rPr>
          <w:strike/>
        </w:rPr>
        <w:t xml:space="preserve">, or (12)</w:t>
      </w:r>
      <w:r>
        <w:t xml:space="preserve">] also stays all other proceedings in the trial court pending resolution of that appeal.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