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86R13990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H.B.</w:t>
      </w:r>
      <w:r xml:space="preserve">
        <w:t> </w:t>
      </w:r>
      <w:r>
        <w:t xml:space="preserve">No.</w:t>
      </w:r>
      <w:r xml:space="preserve">
        <w:t> </w:t>
      </w:r>
      <w:r>
        <w:t xml:space="preserve">4576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major thoroughfare plans adopted by certain metropolitan planning organizations.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472, Transportation Code, is amended by adding Section 472.037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472.037.</w:t>
      </w:r>
      <w:r>
        <w:rPr>
          <w:u w:val="single"/>
        </w:rPr>
        <w:t xml:space="preserve"> </w:t>
      </w:r>
      <w:r>
        <w:rPr>
          <w:u w:val="single"/>
        </w:rPr>
        <w:t xml:space="preserve"> </w:t>
      </w:r>
      <w:r>
        <w:rPr>
          <w:u w:val="single"/>
        </w:rPr>
        <w:t xml:space="preserve">MAJOR THOROUGHFARE PLAN.  (a)  This section applies only to a metropolitan planning organization responsible for transportation planning for a county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located on an international border;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population of at least 700,000 and not more than 800,000.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and to the extent allowed by federal law, the policy board of a metropolitan planning organization to which this section applies shall include in any major thoroughfare plan adopted by the policy board a portion of a roadway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connects two major arterial thoroughfares that lead into a municipality that is located on an international border;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consists of approximately one mile of two-lane roadway extending east and west between two state highways, the east segment of which consists of approximately 3,200 feet of concrete pavement with partial curb and the west segment of which consists of approximately 2,100 feet of hot mix pavement with no curb;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classified as a minor collector connecting two principal arterial thoroughfares and considered on-system.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a metropolitan planning organization subject to Section 472.037, Transportation Code, as added by this Act, shall adopt a major thoroughfare plan in accordance with that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