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4578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instruction regarding culturally inclusive curriculum reflecting the cultural, linguistic and religious diversity of society.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Cultural Inclusion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28, Education Code, is amended by adding Sec. 28.021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28.021.</w:t>
      </w:r>
      <w:r>
        <w:rPr>
          <w:u w:val="single"/>
        </w:rPr>
        <w:t xml:space="preserve"> </w:t>
      </w:r>
      <w:r>
        <w:rPr>
          <w:u w:val="single"/>
        </w:rPr>
        <w:t xml:space="preserve"> </w:t>
      </w:r>
      <w:r>
        <w:rPr>
          <w:u w:val="single"/>
        </w:rPr>
        <w:t xml:space="preserve">INSTRUCTION REGARDING CULTURALLY INCLUSIVE CURRICULUM.</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"Board" means the State Board of Education</w:t>
      </w:r>
    </w:p>
    <w:p w:rsidR="003F3435" w:rsidRDefault="0032493E">
      <w:pPr>
        <w:spacing w:line="480" w:lineRule="auto"/>
        <w:ind w:firstLine="1440"/>
        <w:jc w:val="both"/>
      </w:pPr>
      <w:r>
        <w:t xml:space="preserve">(2)</w:t>
      </w:r>
      <w:r xml:space="preserve">
        <w:t> </w:t>
      </w:r>
      <w:r xml:space="preserve">
        <w:t> </w:t>
      </w:r>
      <w:r>
        <w:rPr>
          <w:u w:val="single"/>
        </w:rPr>
        <w:t xml:space="preserve">"Agency" means the Texas Education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agency, and stakeholders shall enter into a memorandum of understanding that establishes the respective responsibilities in developing instruction, including curriculum and instructional modules, on culturally inclusive curriculum reflecting the cultural, linguistic and religious diversity of society. The instruction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Fostering each child's sense of self-identity;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Fostering acceptance of diversity among people by allowing children to ask about and explore the differences;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Encouraging critical thinking about bias by helping children to identify acts of discrimination and stereotypic  images in their world;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Encouraging empathy towards others;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Fostering each child's ability to stand up for themselves and others in the face of bias.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instruction under this section, the  board and the agency may consult with any interested party, including a volunteer work group convened for the purpose of making recommendations regarding the instruction.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finalizing any instruction under this section, the board and the agency shall provide a reasonable period for public comment.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rules adopted by the board, a school district  or open-enrollment charter school may tailor the instruction developed under this section as appropriate for the  district's or school 's community. </w:t>
      </w:r>
      <w:r>
        <w:rPr>
          <w:u w:val="single"/>
        </w:rPr>
        <w:t xml:space="preserve"> </w:t>
      </w:r>
      <w:r>
        <w:rPr>
          <w:u w:val="single"/>
        </w:rPr>
        <w:t xml:space="preserve">In tailoring the  instruction, the district or school shall solicit input from local law enforcement agencies, driver training schools, and the community.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