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86R13349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351, Tax Code, is amended by adding Section 351.10691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351.10691.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REVENUE: CERTAIN MUNICIPALITIES.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that is bisected by U.S. Highway 290 and is located in a county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county in which the State Capitol is located;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at least 100,000 but not more than 200,000.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municipality to which this section applies may use revenue from the municipal hotel occupancy tax for the construction and maintenance of paths and trails.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