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86R8952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4587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optional annuity increases for certain retirees and beneficiaries of the Texas Municipal Retirement System and related distribution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853.404, Government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The governing body of a participating municipality that adopts an ordinance under Section 854.203 providing for increased annuities effective January 1 of a designated year may further provide in the ordinance that increases in annuities will be credited effective January 1 of each year following the designated year based on recomputations made as provided by Section </w:t>
      </w:r>
      <w:r>
        <w:rPr>
          <w:u w:val="single"/>
        </w:rPr>
        <w:t xml:space="preserve">854.203(b)</w:t>
      </w:r>
      <w:r>
        <w:t xml:space="preserve"> </w:t>
      </w:r>
      <w:r>
        <w:t xml:space="preserve">[</w:t>
      </w:r>
      <w:r>
        <w:rPr>
          <w:strike/>
        </w:rPr>
        <w:t xml:space="preserve">854.203(b)(1)</w:t>
      </w:r>
      <w:r>
        <w:t xml:space="preserve">] for each year following the initial computation, and using the fraction specified in the ordinance as required under Section </w:t>
      </w:r>
      <w:r>
        <w:rPr>
          <w:u w:val="single"/>
        </w:rPr>
        <w:t xml:space="preserve">854.203(b)</w:t>
      </w:r>
      <w:r>
        <w:t xml:space="preserve"> </w:t>
      </w:r>
      <w:r>
        <w:t xml:space="preserve">[</w:t>
      </w:r>
      <w:r>
        <w:rPr>
          <w:strike/>
        </w:rPr>
        <w:t xml:space="preserve">854.203(b)(2)</w:t>
      </w:r>
      <w:r>
        <w:t xml:space="preserve">] in the recomputations.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ordinance described by Subsection (c) will cease to be in effect for a future year, or if an increase in annuities specified in an ordinance described by Subsection (c) will be changed or discontinued as provided by this section, the governing body of the participating municipality shall notify members and annuitants by regular mail not later than the 60th day before the date on which the ordinance will cease to be in effect or the increase will be changed or discontinued.  For an annuitant who receives a periodic check or advice of deposit from the retirement system by regular mail, the notice required by this subsection must be included with the annuitant's check or advice of deposit.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854.203, Government Code, is amended by amending Subsections (b) and (f)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amount of annuity increase under this section is computed </w:t>
      </w:r>
      <w:r>
        <w:rPr>
          <w:u w:val="single"/>
        </w:rPr>
        <w:t xml:space="preserve">by one of the following methods:</w:t>
      </w:r>
    </w:p>
    <w:p w:rsidR="003F3435" w:rsidRDefault="0032493E">
      <w:pPr>
        <w:spacing w:line="480" w:lineRule="auto"/>
        <w:ind w:firstLine="1440"/>
        <w:jc w:val="both"/>
      </w:pPr>
      <w:r>
        <w:rPr>
          <w:u w:val="single"/>
        </w:rPr>
        <w:t xml:space="preserve">(1)</w:t>
      </w:r>
      <w:r xml:space="preserve">
        <w:t> </w:t>
      </w:r>
      <w:r xml:space="preserve">
        <w:t> </w:t>
      </w:r>
      <w:r>
        <w:t xml:space="preserve">as the sum of the prior and current service annuities on the effective date of retirement of the person on whose service the annuities are based, multiplied by: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percentage change in the Consumer Price Index for All Urban Consumers, published by the Bureau of Labor Statistics of the United States Department of Labor, from December of the year immediately preceding the effective date of the person's retirement to the December that is 13 months before the effective date of the ordinance providing the increase;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30 percent, 50 percent, or 70 percent, as specified by the governing body in the ordinance, except that if the governing body has specified a different percentage in an ordinance adopted under Section 853.404(c) and in effect on December 31, 1999, the percentage used in computing annuity increases for retirees of that municipality remains in effect until changed or discontinued under Section 853.404</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the sum of the prior and current service annuities of the person on whose service the annuities are based on the effective date of the annuity increase multiplied by the percentage increase specified in the ordinance adopted by the governing body, except that an adjustment to an annuity after the annuity starting date for an increase under this subdivision may not cause an annuitant's annuity to exceed the amount to which the annuitant would have been entitled to had the maximum amount of the increase allowed under Subdivision (1) been applied to the annuitant's annuity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increase under Subsection (b)(2) applies to all annuities for which the effective date of retirement of the person on whose service the annuity is based is at least 12 months before the effective date of the increase. </w:t>
      </w:r>
      <w:r>
        <w:rPr>
          <w:u w:val="single"/>
        </w:rPr>
        <w:t xml:space="preserve"> </w:t>
      </w:r>
      <w:r>
        <w:rPr>
          <w:u w:val="single"/>
        </w:rPr>
        <w:t xml:space="preserve">Notwithstanding any other provision of this subtitle, each distribution of a benefit under this subtitle must be determined and made in accordance with Section 401(a)(9), Internal Revenue Code of 1986.  The board of trustees may adopt rules it considers necessary to comply with the distribution requirements.</w:t>
      </w:r>
    </w:p>
    <w:p w:rsidR="003F3435" w:rsidRDefault="0032493E">
      <w:pPr>
        <w:spacing w:line="480" w:lineRule="auto"/>
        <w:ind w:firstLine="720"/>
        <w:jc w:val="both"/>
      </w:pPr>
      <w:r>
        <w:t xml:space="preserve">(f)</w:t>
      </w:r>
      <w:r xml:space="preserve">
        <w:t> </w:t>
      </w:r>
      <w:r xml:space="preserve">
        <w:t> </w:t>
      </w:r>
      <w:r>
        <w:rPr>
          <w:u w:val="single"/>
        </w:rPr>
        <w:t xml:space="preserve">An increase granted to an annuitant under Subsection (b)(2), or the</w:t>
      </w:r>
      <w:r xml:space="preserve">
        <w:t> </w:t>
      </w:r>
      <w:r>
        <w:t xml:space="preserve">[</w:t>
      </w:r>
      <w:r>
        <w:rPr>
          <w:strike/>
        </w:rPr>
        <w:t xml:space="preserve">The</w:t>
      </w:r>
      <w:r>
        <w:t xml:space="preserve">] amount by which an increase under </w:t>
      </w:r>
      <w:r>
        <w:rPr>
          <w:u w:val="single"/>
        </w:rPr>
        <w:t xml:space="preserve">Subsection (b)(1)</w:t>
      </w:r>
      <w:r>
        <w:t xml:space="preserve"> [</w:t>
      </w:r>
      <w:r>
        <w:rPr>
          <w:strike/>
        </w:rPr>
        <w:t xml:space="preserve">this section</w:t>
      </w:r>
      <w:r>
        <w:t xml:space="preserve">] exceeds all previously granted increases to an annuitant</w:t>
      </w:r>
      <w:r>
        <w:rPr>
          <w:u w:val="single"/>
        </w:rPr>
        <w:t xml:space="preserve">,</w:t>
      </w:r>
      <w:r>
        <w:t xml:space="preserve">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payable as a prior service annuity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is</w:t>
      </w:r>
      <w:r>
        <w:t xml:space="preserve">] an obligation of the municipality's account in the benefit accumulation fund</w:t>
      </w:r>
      <w:r>
        <w:rPr>
          <w:u w:val="single"/>
        </w:rPr>
        <w:t xml:space="preserve">;</w:t>
      </w:r>
      <w:r>
        <w:t xml:space="preserve"> </w:t>
      </w:r>
      <w:r>
        <w:t xml:space="preserve">[</w:t>
      </w:r>
      <w:r>
        <w:rPr>
          <w:strike/>
        </w:rPr>
        <w:t xml:space="preserve">,</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is</w:t>
      </w:r>
      <w:r>
        <w:t xml:space="preserve">] subject to reduction under Section 855.308(f).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