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4588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mailed notice of certain environmental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5.552, Water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any notice required by mail for a permit or permit amendment issued under Subchapter C, Chapter 361, Health and Safety Code, or Subchapter C, Chapter 382, Health and Safety Code, if the elementary or middle school nearest to the facility or proposed facility provides a bilingual education program as required by Subchapter B, Chapter 29, Education Code, the notice must be written in English and in the language taught in the bilingual education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5.553, Water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any notice required by mail for a permit or permit amendment issued under Subchapter C, Chapter 361, Health and Safety Code, or Subchapter C, Chapter 382, Health and Safety Code, if the elementary or middle school nearest to the facility or proposed facility provides a bilingual education program as required by Subchapter B, Chapter 29, Education Code, the notice must be  written in English and in the language taught in the bilingual education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permit application that is filed with the Texas Commission on Environmental Quality on or after the effective date of this Act. </w:t>
      </w:r>
      <w:r>
        <w:t xml:space="preserve"> </w:t>
      </w:r>
      <w:r>
        <w:t xml:space="preserve">A permit application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