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equalized wealth level and the guaranteed yield under the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t xml:space="preserve">the wealth per student that generates the amount of maintenance and operations tax revenue per weighted student available to the Austin Independent School District, as determined by the commissioner in cooperation with the Legislative Budget Board, for the first </w:t>
      </w:r>
      <w:r>
        <w:rPr>
          <w:u w:val="single"/>
        </w:rPr>
        <w:t xml:space="preserve">eight</w:t>
      </w:r>
      <w:r>
        <w:t xml:space="preserve"> [</w:t>
      </w:r>
      <w:r>
        <w:rPr>
          <w:strike/>
        </w:rPr>
        <w:t xml:space="preserve">six</w:t>
      </w:r>
      <w:r>
        <w:t xml:space="preserve">]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t xml:space="preserve">$319,500,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42.101(a-1),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w:t>
      </w:r>
      <w:r>
        <w:rPr>
          <w:u w:val="single"/>
        </w:rPr>
        <w:t xml:space="preserve">eight</w:t>
      </w:r>
      <w:r>
        <w:t xml:space="preserve"> [</w:t>
      </w:r>
      <w:r>
        <w:rPr>
          <w:strike/>
        </w:rPr>
        <w:t xml:space="preserve">six</w:t>
      </w:r>
      <w:r>
        <w:t xml:space="preserve">] cents above the district's compressed tax rate, as defined by Subsection (a), until the district's compressed tax rate computed in accordance with this subsection is equal to the state maximum compressed tax rate ("MCR").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 the amount of district tax revenue per weighted student per cent of tax effort used for purposes of this subdivision in the preceding school year, for the first </w:t>
      </w:r>
      <w:r>
        <w:rPr>
          <w:u w:val="single"/>
        </w:rPr>
        <w:t xml:space="preserve">eight</w:t>
      </w:r>
      <w:r>
        <w:t xml:space="preserve"> [</w:t>
      </w:r>
      <w:r>
        <w:rPr>
          <w:strike/>
        </w:rPr>
        <w:t xml:space="preserve">six</w:t>
      </w:r>
      <w:r>
        <w:t xml:space="preserve">]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t xml:space="preserve">$31.95,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