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86R13753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4596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ensuring the continued provision of benefits under Medicaid and the supplemental nutrition assistance program for the children of individuals confined in a penal or correctional institution.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32.0267.</w:t>
      </w:r>
      <w:r>
        <w:rPr>
          <w:u w:val="single"/>
        </w:rPr>
        <w:t xml:space="preserve"> </w:t>
      </w:r>
      <w:r>
        <w:rPr>
          <w:u w:val="single"/>
        </w:rPr>
        <w:t xml:space="preserve"> </w:t>
      </w:r>
      <w:r>
        <w:rPr>
          <w:u w:val="single"/>
        </w:rPr>
        <w:t xml:space="preserve">BENEFITS FOR CHILDREN OF CERTAIN INDIVIDUALS CONFINED IN PENAL OR CORRECTIONAL INSTITUTION.  (a) </w:t>
      </w:r>
      <w:r>
        <w:rPr>
          <w:u w:val="single"/>
        </w:rPr>
        <w:t xml:space="preserve"> </w:t>
      </w:r>
      <w:r>
        <w:rPr>
          <w:u w:val="single"/>
        </w:rPr>
        <w:t xml:space="preserve">This section applies to a child who is a Medicaid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the child of an individual who is confined in a penal or correctional institution, including a county jail in this state or a federal correctional institution, will continue to receive benefits under Medicaid without interruption due to the parent's confinement.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 including rules designed to ensure that at the time for recertifying the child's eligibility for Medicaid benefits, a process is implemented to ensure the parent's confinement does not impede or delay the child's recertification if the child is otherwise eligible for the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33, Human Resources Code, is amended by adding Section 33.0181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33.0181.</w:t>
      </w:r>
      <w:r>
        <w:rPr>
          <w:u w:val="single"/>
        </w:rPr>
        <w:t xml:space="preserve"> </w:t>
      </w:r>
      <w:r>
        <w:rPr>
          <w:u w:val="single"/>
        </w:rPr>
        <w:t xml:space="preserve"> </w:t>
      </w:r>
      <w:r>
        <w:rPr>
          <w:u w:val="single"/>
        </w:rPr>
        <w:t xml:space="preserve">BENEFITS FOR CHILDREN OF CERTAIN INDIVIDUALS CONFINED IN PENAL OR CORRECTIONAL INSTITUTION.  (a) </w:t>
      </w:r>
      <w:r>
        <w:rPr>
          <w:u w:val="single"/>
        </w:rPr>
        <w:t xml:space="preserve"> </w:t>
      </w:r>
      <w:r>
        <w:rPr>
          <w:u w:val="single"/>
        </w:rPr>
        <w:t xml:space="preserve">This section applies to a child who is receiving benefits under the supplemental nutrition assistance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the child of an individual who is confined in a penal or correctional institution, including a county jail in this state or a federal correctional institution, will continue to receive benefits under the supplemental nutrition assistance program without interruption due to the parent's confinement.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 including rules designed to ensure that at the time for recertifying the child's eligibility for benefits under the supplemental nutrition assistance program, a process is implemented to ensure the parent's confinement does not impede or delay the child's recertification if the child is otherwise eligible for the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