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86R14209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reestablishing the in-home and family support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T to read as follows:</w:t>
      </w:r>
    </w:p>
    <w:p w:rsidR="003F3435" w:rsidRDefault="0032493E">
      <w:pPr>
        <w:spacing w:line="480" w:lineRule="auto"/>
        <w:jc w:val="center"/>
      </w:pPr>
      <w:r>
        <w:rPr>
          <w:u w:val="single"/>
        </w:rPr>
        <w:t xml:space="preserve">SUBCHAPTER T. IN-HOME AND FAMILY SUPPORT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"Disability" means a physical impairment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likely to continue indefinitely;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results in substantial functional limitations in one or more of the following areas of major life activity as determined under the disabilities screening instrument:</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self-care;</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receptive and expressive language;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learning;</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mobility;</w:t>
      </w:r>
      <w:r>
        <w:t xml:space="preserve"> </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self-direction; or</w:t>
      </w:r>
      <w:r>
        <w:t xml:space="preserve"> </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capacity for independent living;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likely to require treatment or services that are lifelong or of extended duration.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in-home and family support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531.802.</w:t>
      </w:r>
      <w:r>
        <w:rPr>
          <w:u w:val="single"/>
        </w:rPr>
        <w:t xml:space="preserve"> </w:t>
      </w:r>
      <w:r>
        <w:rPr>
          <w:u w:val="single"/>
        </w:rPr>
        <w:t xml:space="preserve"> </w:t>
      </w:r>
      <w:r>
        <w:rPr>
          <w:u w:val="single"/>
        </w:rPr>
        <w:t xml:space="preserve">IN-HOME AND FAMILY SUPPORT PROGRAM.  The executive commissioner by rule shall establish the in-home and family support program to provide benefits to an individual with a disability that allows the individual or the legal guardian of the individual to purchase items that enable the individual to reside in a community-based setting.  The program must be designed in substantially the same manner as the in-home and family support program formerly administered by the former Department of Aging and Disability Services under 40 T.A.C. Chapter 48, Subchapter F.</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