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Raymond</w:t>
      </w:r>
      <w:r xml:space="preserve">
        <w:tab wTab="150" tlc="none" cTlc="0"/>
      </w:r>
      <w:r>
        <w:t xml:space="preserve">H.B.</w:t>
      </w:r>
      <w:r xml:space="preserve">
        <w:t> </w:t>
      </w:r>
      <w:r>
        <w:t xml:space="preserve">No.</w:t>
      </w:r>
      <w:r xml:space="preserve">
        <w:t> </w:t>
      </w:r>
      <w:r>
        <w:t xml:space="preserve">4601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a workgroup to study uniform quality measures under a value-based program for long-term services and supports.</w:t>
      </w:r>
    </w:p>
    <w:p w:rsidR="003F3435" w:rsidRDefault="0032493E">
      <w:pPr>
        <w:spacing w:line="480" w:lineRule="auto"/>
        <w:jc w:val="center"/>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531, Government Code, is amended by adding Section 531.0122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531.0121.</w:t>
      </w:r>
      <w:r>
        <w:rPr>
          <w:u w:val="single"/>
        </w:rPr>
        <w:t xml:space="preserve"> </w:t>
      </w:r>
      <w:r>
        <w:rPr>
          <w:u w:val="single"/>
        </w:rPr>
        <w:t xml:space="preserve"> </w:t>
      </w:r>
      <w:r>
        <w:rPr>
          <w:u w:val="single"/>
        </w:rPr>
        <w:t xml:space="preserve">WORKGROUP ON UNIFORM QUALITY MEASURES UNDER A VALUE-BASED PROGRAM FOR LONG-TERM SERVICES AND SUPPORTS. </w:t>
      </w:r>
      <w:r>
        <w:rPr>
          <w:u w:val="single"/>
        </w:rPr>
        <w:t xml:space="preserve"> </w:t>
      </w:r>
      <w:r>
        <w:rPr>
          <w:u w:val="single"/>
        </w:rPr>
        <w:t xml:space="preserve">(a)  Within a committee established under Section 531.012 that studies quality improvement and value-based payment initiatives, the Commission shall establish a workgroup to engage stakeholders representing clients, providers, and other relevant industries providing community long-term services and supports to develop uniform quality measures under a value-based program for long-term services and supports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the underlying methodology for measuring quality under a value-based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identifying the data sources used under the methodology;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establishing a process for the reporting, collecting, and validating of the data used in the methodology.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Data collected shall be accessible to the public including the quality metrics.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Through the workgroup process and upon agreement of the full committee, the commission shall establish a plan and timeline for implementing the measures as defined by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submit a report on the plan and timeline for implementing the uniform quality measures to the governor, lieutenant governor, speaker of the house, and each standing committee with jurisdiction overseeing the financing, operation, and management of Medicaid no later than September 1, 2020.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4601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