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4603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deposit of certain surplus state revenue to the property tax relief fund for use in reducing school district maintenance and operations ad valorem taxes and providing compensation for teachers, counselors, and librarians employed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403.109,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allocate for deposit to the credit of the general revenue fund in an amount equal one-half of the unencumbered positive balance of general revenues on the last day of the preceding state fiscal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percent of the one-half of the unencumbered positive balance of the general revenues may be used only to provide ad valorem tax relief by reducing school district maintenance and operations ad valorem tax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 percent of the one-half of the unencumbered positive balance of the general revenues may be used only to provide compensation for teachers, counselors, and librarians employed in public schools;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periodically deposit to the credit of the fund the general revenue allocated under Subdivision (1), with the final deposit for that biennium to be made not later than the 90th day of the next state fiscal biennium.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money deposited to the credit of the fund under Subsection (e) may be appropriated only to the Texas Education Agency for use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property tax relief through reduction other state compression percentage, as defined by Section 42.2516(a),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compensation for teachers, counselors, and librarians employed in public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state fiscal biennium beginning September 1, 2021.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January 1, 2020, but only if the constitutional amendment proposed by the 86th Legislature, Regular Session, 2019, limiting the rate of growth of appropriations and the use of surplus state revenue to provide for property tax relief and public school teacher compensation.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