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4615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performance-based incentives and teacher education and development initiatives administered by the Texas Higher Education Coordinating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62, Education Code, is amended by adding Subchapter I to read as follows:</w:t>
      </w:r>
    </w:p>
    <w:p w:rsidR="003F3435" w:rsidRDefault="0032493E">
      <w:pPr>
        <w:spacing w:line="480" w:lineRule="auto"/>
        <w:jc w:val="center"/>
      </w:pPr>
      <w:r>
        <w:rPr>
          <w:u w:val="single"/>
        </w:rPr>
        <w:t xml:space="preserve">SUBCHAPTER I.</w:t>
      </w:r>
      <w:r>
        <w:rPr>
          <w:u w:val="single"/>
        </w:rPr>
        <w:t xml:space="preserve"> </w:t>
      </w:r>
      <w:r>
        <w:rPr>
          <w:u w:val="single"/>
        </w:rPr>
        <w:t xml:space="preserve"> </w:t>
      </w:r>
      <w:r>
        <w:rPr>
          <w:u w:val="single"/>
        </w:rPr>
        <w:t xml:space="preserve">PERFORMANCE-BASED INCENTIVES AND TEACHER</w:t>
      </w:r>
    </w:p>
    <w:p w:rsidR="003F3435" w:rsidRDefault="0032493E">
      <w:pPr>
        <w:spacing w:line="480" w:lineRule="auto"/>
        <w:jc w:val="center"/>
      </w:pPr>
      <w:r>
        <w:rPr>
          <w:u w:val="single"/>
        </w:rPr>
        <w:t xml:space="preserve">EDUCATION AND DEVELOPMENT INITIATIVES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62.181.</w:t>
      </w:r>
      <w:r>
        <w:rPr>
          <w:u w:val="single"/>
        </w:rPr>
        <w:t xml:space="preserve"> </w:t>
      </w:r>
      <w:r>
        <w:rPr>
          <w:u w:val="single"/>
        </w:rPr>
        <w:t xml:space="preserve"> </w:t>
      </w:r>
      <w:r>
        <w:rPr>
          <w:u w:val="single"/>
        </w:rPr>
        <w:t xml:space="preserve">DEFINITION.  In this subchapter, "institution of higher education" has the meaning assigned by Section 61.003.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62.182.</w:t>
      </w:r>
      <w:r>
        <w:rPr>
          <w:u w:val="single"/>
        </w:rPr>
        <w:t xml:space="preserve"> </w:t>
      </w:r>
      <w:r>
        <w:rPr>
          <w:u w:val="single"/>
        </w:rPr>
        <w:t xml:space="preserve"> </w:t>
      </w:r>
      <w:r>
        <w:rPr>
          <w:u w:val="single"/>
        </w:rPr>
        <w:t xml:space="preserve">FUNDING.</w:t>
      </w:r>
      <w:r>
        <w:rPr>
          <w:u w:val="single"/>
        </w:rPr>
        <w:t xml:space="preserve"> </w:t>
      </w:r>
      <w:r>
        <w:rPr>
          <w:u w:val="single"/>
        </w:rPr>
        <w:t xml:space="preserve"> </w:t>
      </w:r>
      <w:r>
        <w:rPr>
          <w:u w:val="single"/>
        </w:rPr>
        <w:t xml:space="preserve">The legislature may appropriate funding for programs established under this subchapter from any available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62.183.</w:t>
      </w:r>
      <w:r>
        <w:rPr>
          <w:u w:val="single"/>
        </w:rPr>
        <w:t xml:space="preserve"> </w:t>
      </w:r>
      <w:r>
        <w:rPr>
          <w:u w:val="single"/>
        </w:rPr>
        <w:t xml:space="preserve"> </w:t>
      </w:r>
      <w:r>
        <w:rPr>
          <w:u w:val="single"/>
        </w:rPr>
        <w:t xml:space="preserve">PERFORMANCE-BASED INCENTIVES.</w:t>
      </w:r>
      <w:r>
        <w:rPr>
          <w:u w:val="single"/>
        </w:rPr>
        <w:t xml:space="preserve"> </w:t>
      </w:r>
      <w:r>
        <w:rPr>
          <w:u w:val="single"/>
        </w:rPr>
        <w:t xml:space="preserve"> </w:t>
      </w:r>
      <w:r>
        <w:rPr>
          <w:u w:val="single"/>
        </w:rPr>
        <w:t xml:space="preserve">(a) </w:t>
      </w:r>
      <w:r>
        <w:rPr>
          <w:u w:val="single"/>
        </w:rPr>
        <w:t xml:space="preserve"> </w:t>
      </w:r>
      <w:r>
        <w:rPr>
          <w:u w:val="single"/>
        </w:rPr>
        <w:t xml:space="preserve">From funds appropriated for the purpose, the coordinating board shall provide performance-based incentives to institutions of higher education based on the achievement of progress toward the goals established under the state's master plan for higher education developed under Section 61.051. </w:t>
      </w:r>
      <w:r>
        <w:rPr>
          <w:u w:val="single"/>
        </w:rPr>
        <w:t xml:space="preserve"> </w:t>
      </w:r>
      <w:r>
        <w:rPr>
          <w:u w:val="single"/>
        </w:rPr>
        <w:t xml:space="preserve">The coordinating board shall include adult education, including vocational education, provided by the Windham School District in the incentive measures developed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determine eligibility criteria for and the amount of a performance-based incentive provided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62.184.</w:t>
      </w:r>
      <w:r>
        <w:rPr>
          <w:u w:val="single"/>
        </w:rPr>
        <w:t xml:space="preserve"> </w:t>
      </w:r>
      <w:r>
        <w:rPr>
          <w:u w:val="single"/>
        </w:rPr>
        <w:t xml:space="preserve"> </w:t>
      </w:r>
      <w:r>
        <w:rPr>
          <w:u w:val="single"/>
        </w:rPr>
        <w:t xml:space="preserve">TEACHER EDUCATION AND DEVELOPMENT INITIATIVES.</w:t>
      </w:r>
      <w:r>
        <w:rPr>
          <w:u w:val="single"/>
        </w:rPr>
        <w:t xml:space="preserve"> </w:t>
      </w:r>
      <w:r>
        <w:rPr>
          <w:u w:val="single"/>
        </w:rPr>
        <w:t xml:space="preserve"> </w:t>
      </w:r>
      <w:r>
        <w:rPr>
          <w:u w:val="single"/>
        </w:rPr>
        <w:t xml:space="preserve">(a) </w:t>
      </w:r>
      <w:r>
        <w:rPr>
          <w:u w:val="single"/>
        </w:rPr>
        <w:t xml:space="preserve"> </w:t>
      </w:r>
      <w:r>
        <w:rPr>
          <w:u w:val="single"/>
        </w:rPr>
        <w:t xml:space="preserve">The coordinating board shall provide grants or other funding to support teacher education and development initiatives.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initiatives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development of or support for high quality professional development for teachers to increase teacher quality and student outcomes;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 loan forgiveness programs for high-performing students who graduate from an institution of higher education and who commit to teaching in the public schools in this state for at least eight years immediately following graduation;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development of a teaching associate degree program at institutions of higher education that incorporates a two-year intensive teaching mentorship under a high-performing teacher and that leads to a teacher certification under Subchapter B, Chapter 21;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competitive grant program for high-performing teachers at public schools in this state to support grant recipients' proposals for innovative or promising projects to improve teacher quality or effectiveness, including projects to improve or develop best instructional practices, dual language instruction, professional development curricula for career and technical education teachers, and conferences or other measures to promote best pedagogical practices.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shall determine eligibility criteria for and the amount of funding provided for each initiative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62.185.</w:t>
      </w:r>
      <w:r>
        <w:rPr>
          <w:u w:val="single"/>
        </w:rPr>
        <w:t xml:space="preserve"> </w:t>
      </w:r>
      <w:r>
        <w:rPr>
          <w:u w:val="single"/>
        </w:rPr>
        <w:t xml:space="preserve"> </w:t>
      </w:r>
      <w:r>
        <w:rPr>
          <w:u w:val="single"/>
        </w:rPr>
        <w:t xml:space="preserve">RULES.</w:t>
      </w:r>
      <w:r>
        <w:rPr>
          <w:u w:val="single"/>
        </w:rPr>
        <w:t xml:space="preserve"> </w:t>
      </w:r>
      <w:r>
        <w:rPr>
          <w:u w:val="single"/>
        </w:rPr>
        <w:t xml:space="preserve"> </w:t>
      </w:r>
      <w:r>
        <w:rPr>
          <w:u w:val="single"/>
        </w:rPr>
        <w:t xml:space="preserve">The coordinating board shall adopt rules for the administration of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