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86R7876 GRM-F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Metcalf</w:t>
      </w:r>
      <w:r xml:space="preserve">
        <w:tab wTab="150" tlc="none" cTlc="0"/>
      </w:r>
      <w:r>
        <w:t xml:space="preserve">H.B.</w:t>
      </w:r>
      <w:r xml:space="preserve">
        <w:t> </w:t>
      </w:r>
      <w:r>
        <w:t xml:space="preserve">No.</w:t>
      </w:r>
      <w:r xml:space="preserve">
        <w:t> </w:t>
      </w:r>
      <w:r>
        <w:t xml:space="preserve">4628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powers and duties of Montgomery County Municipal Utility District No. 100.</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8119, Special District Local Laws Code, is amended by adding Section 8119.106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8119.106.</w:t>
      </w:r>
      <w:r>
        <w:rPr>
          <w:u w:val="single"/>
        </w:rPr>
        <w:t xml:space="preserve"> </w:t>
      </w:r>
      <w:r>
        <w:rPr>
          <w:u w:val="single"/>
        </w:rPr>
        <w:t xml:space="preserve"> </w:t>
      </w:r>
      <w:r>
        <w:rPr>
          <w:u w:val="single"/>
        </w:rPr>
        <w:t xml:space="preserve">DIVISION OF DISTRICT. </w:t>
      </w:r>
      <w:r>
        <w:rPr>
          <w:u w:val="single"/>
        </w:rPr>
        <w:t xml:space="preserve"> </w:t>
      </w:r>
      <w:r>
        <w:rPr>
          <w:u w:val="single"/>
        </w:rPr>
        <w:t xml:space="preserve">(a) </w:t>
      </w:r>
      <w:r>
        <w:rPr>
          <w:u w:val="single"/>
        </w:rPr>
        <w:t xml:space="preserve"> </w:t>
      </w:r>
      <w:r>
        <w:rPr>
          <w:u w:val="single"/>
        </w:rPr>
        <w:t xml:space="preserve">The district may be divided into two or more new districts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no outstanding bonded debt;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Any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board may adopt an order dividing the district before or after the date the board holds an election under Section 8119.023 to confirm the district's creation.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order dividing the district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each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new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each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or among the new districts.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Any new district created by the division of the district shall hold a confirmation and directors' election as required by Section 8119.023.</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Any new district created by the division of the district must hold an election as required by law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4628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