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Montgomery County Municipal Utility District No. 100.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8119, Special District Local Laws Code, is amended by adding Section 8119.106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8119.106.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8119.023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8119.023.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