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86R7875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4629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Montgomery County Municipal Utility District No. 101.</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8120, Special District Local Laws Code, is amended by adding Section 8120.106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8120.106.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8120.023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8120.023.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law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