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w:t xml:space="preserve"> (Senate Sponsor</w:t>
      </w:r>
      <w:r xml:space="preserve">
        <w:t> </w:t>
      </w:r>
      <w:r>
        <w:t xml:space="preserve">-</w:t>
      </w:r>
      <w:r xml:space="preserve">
        <w:t> </w:t>
      </w:r>
      <w:r>
        <w:t xml:space="preserve">Nichols)</w:t>
      </w:r>
      <w:r xml:space="preserve">
        <w:tab wTab="150" tlc="none" cTlc="0"/>
      </w:r>
      <w:r>
        <w:t xml:space="preserve">H.B.</w:t>
      </w:r>
      <w:r xml:space="preserve">
        <w:t> </w:t>
      </w:r>
      <w:r>
        <w:t xml:space="preserve">No.</w:t>
      </w:r>
      <w:r xml:space="preserve">
        <w:t> </w:t>
      </w:r>
      <w:r>
        <w:t xml:space="preserve">4649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29,</w:t>
      </w:r>
      <w:r xml:space="preserve">
        <w:t> </w:t>
      </w:r>
      <w:r>
        <w:t xml:space="preserve">2019; April</w:t>
      </w:r>
      <w:r xml:space="preserve">
        <w:t> </w:t>
      </w:r>
      <w:r>
        <w:t xml:space="preserve">29,</w:t>
      </w:r>
      <w:r xml:space="preserve">
        <w:t> </w:t>
      </w:r>
      <w:r>
        <w:t xml:space="preserve">2019, read first time and referred to Committee on Intergovernmental Relations; May</w:t>
      </w:r>
      <w:r xml:space="preserve">
        <w:t> </w:t>
      </w:r>
      <w:r>
        <w:t xml:space="preserve">9,</w:t>
      </w:r>
      <w:r xml:space="preserve">
        <w:t> </w:t>
      </w:r>
      <w:r>
        <w:t xml:space="preserve">2019, reported favorably by the following vote:</w:t>
      </w:r>
      <w:r>
        <w:t xml:space="preserve"> </w:t>
      </w:r>
      <w:r>
        <w:t xml:space="preserve"> </w:t>
      </w:r>
      <w:r>
        <w:t xml:space="preserve">Yeas</w:t>
      </w:r>
      <w:r xml:space="preserve">
        <w:t> </w:t>
      </w:r>
      <w:r>
        <w:t xml:space="preserve">7, Nays</w:t>
      </w:r>
      <w:r xml:space="preserve">
        <w:t> </w:t>
      </w:r>
      <w:r>
        <w:t xml:space="preserve">0; May</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effect of municipal annexation of territory in the Montgomery County Municipal Utility District No. 147.</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7907.001, Special District Local Laws Code, is amended by adding Subsection (1-a)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"City" means the City of Conroe, Texas.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7907, Special District Local Laws Code, is amended by adding Section 7907.007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7907.007.</w:t>
      </w:r>
      <w:r>
        <w:rPr>
          <w:u w:val="single"/>
        </w:rPr>
        <w:t xml:space="preserve"> </w:t>
      </w:r>
      <w:r>
        <w:rPr>
          <w:u w:val="single"/>
        </w:rPr>
        <w:t xml:space="preserve"> </w:t>
      </w:r>
      <w:r>
        <w:rPr>
          <w:u w:val="single"/>
        </w:rPr>
        <w:t xml:space="preserve">EFFECT OF ANNEXATION.  Notwithstanding any other law, if all or any part of the territory of the district is annexed by the city into the city's corporate limits, the district retains all of the district's outstanding debt and obligations and is not dissolved.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