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86R20841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(c),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(c)</w:t>
      </w:r>
      <w:r xml:space="preserve">
        <w:t> </w:t>
      </w:r>
      <w:r xml:space="preserve">
        <w:t> </w:t>
      </w:r>
      <w:r>
        <w:t xml:space="preserve">In the event that the District in the exercise of the power of eminent domain or power of relocation, or any other power granted hereunder, makes necessary the relocation, raising, rerouting or changing the grade of, or altering the construction of, any </w:t>
      </w:r>
      <w:r>
        <w:rPr>
          <w:u w:val="single"/>
        </w:rPr>
        <w:t xml:space="preserve">cemetery,</w:t>
      </w:r>
      <w:r>
        <w:t xml:space="preserve"> highway, railroad, electric transmission line, telephone or telegraph properties and facilities, or pipeline, all such necessary relocation, raising, rerouting, changing of grade or alteration of construction shall be accomplished at the sole expense of the District.  The term "sole expense" shall mean the actual cost of such relocation, raising, rerouting, or change in grade or alteration of construction in providing comparable replacement without enhancement of such facilities after deducting therefrom the net salvage value derived from the old facility.</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