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86R19052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Williamson County Municipal Utility District No. 28;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7898 to read as follows:</w:t>
      </w:r>
    </w:p>
    <w:p w:rsidR="003F3435" w:rsidRDefault="0032493E">
      <w:pPr>
        <w:spacing w:line="480" w:lineRule="auto"/>
        <w:jc w:val="center"/>
      </w:pPr>
      <w:r>
        <w:rPr>
          <w:u w:val="single"/>
        </w:rPr>
        <w:t xml:space="preserve">CHAPTER 7898.  WILLIAMSON COUNTY MUNICIPAL UTILITY DISTRICT NO. 28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7898.0203.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28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Williamson County Municipal Utility District No. 28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