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86R13342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4708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Lakehaven Municipal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8093 to read as follows:</w:t>
      </w:r>
    </w:p>
    <w:p w:rsidR="003F3435" w:rsidRDefault="0032493E">
      <w:pPr>
        <w:spacing w:line="480" w:lineRule="auto"/>
        <w:jc w:val="center"/>
      </w:pPr>
      <w:r>
        <w:rPr>
          <w:u w:val="single"/>
        </w:rPr>
        <w:t xml:space="preserve">CHAPTER 8093.  LAKEHAVEN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Lakehaven</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revenue, contract payments, grants, or other district money, or any combination of those sources, to pay for a road project authorized by Section 8093.0203.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Lakehaven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