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4742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4742</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SoGood Cedars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 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Harrison Blair</w:t>
            </w:r>
          </w:p>
        </w:tc>
      </w:tr>
      <w:tr>
        <w:tc>
          <w:p/>
        </w:tc>
        <w:tc>
          <w:p>
            <w:r>
              <w:rPr>
                <w:u w:val="single"/>
              </w:rPr>
              <w:t xml:space="preserve">2</w:t>
            </w:r>
          </w:p>
        </w:tc>
        <w:tc>
          <w:p>
            <w:r>
              <w:rPr>
                <w:u w:val="single"/>
              </w:rPr>
              <w:t xml:space="preserve">Jason Brown</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NONPROFIT CORPORATION.  (a)  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ECONOMIC DEVELOPMENT PROGRAMS.  (a)  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3963.0312.</w:t>
      </w:r>
      <w:r>
        <w:rPr>
          <w:u w:val="single"/>
        </w:rPr>
        <w:t xml:space="preserve"> </w:t>
      </w:r>
      <w:r>
        <w:rPr>
          <w:u w:val="single"/>
        </w:rPr>
        <w:t xml:space="preserve"> </w:t>
      </w:r>
      <w:r>
        <w:rPr>
          <w:u w:val="single"/>
        </w:rPr>
        <w:t xml:space="preserve">CERTAIN RESIDENTIAL PROPERTY.  (a)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3963.0313.</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by resolution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under Subsection (a), (b), or (c)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