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86R9841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4748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Near Northside Management District to impose a sales and use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3905, Special District Local Laws Code, is amended by adding Subchapter F to read as follows: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3905.251.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subchapter, 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3905.252.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provide notice of the election and shall hold the election in the manner prescribed by Section 3905.201.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Near Northside Management District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3905.253.</w:t>
      </w:r>
      <w:r>
        <w:rPr>
          <w:u w:val="single"/>
        </w:rPr>
        <w:t xml:space="preserve"> </w:t>
      </w:r>
      <w:r>
        <w:rPr>
          <w:u w:val="single"/>
        </w:rPr>
        <w:t xml:space="preserve"> </w:t>
      </w:r>
      <w:r>
        <w:rPr>
          <w:u w:val="single"/>
        </w:rPr>
        <w:t xml:space="preserve">SALES AND USE TAX RATE.  (a)  After the date the results are declared of an election held under Section 3905.252 at which the voters authorized imposition of a tax, the board shall provide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authorization of a tax under Section 3905.252,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decrease the rate of the tax if the decrease would impair the repayment of any outstanding debt or obligation payable from the tax.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at the election held under Section 3905.252;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determining whether the combined sales and use tax rate under Subsection (d)(2) would exceed the maximum combined rate prescribed by Section 321.101(f), Tax Code, at any location in the district, the board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sales and use tax imposed by a political subdivision whose territory overlaps all or part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sales and use tax to be imposed by the city or the county as a result of an election held on the same date as the election held under Section 3905.252;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increase to an existing sales and use tax imposed by the city or the county as a result of an election held on the same date as the election held under Section 3905.252.</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3905.254.</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3905.255.</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3905.256.</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any outstanding debt or obligation secured by the tax, and repayment of the debt or obligation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3905.252 before the district may subsequently impose the tax.</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