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4749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Rose City Municipal Utility District; granting a limited power of eminent domain; providing authority to issue bonds; providing authority to impose assessments and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7958 to read as follows:</w:t>
      </w:r>
    </w:p>
    <w:p w:rsidR="003F3435" w:rsidRDefault="0032493E">
      <w:pPr>
        <w:spacing w:line="480" w:lineRule="auto"/>
        <w:jc w:val="center"/>
      </w:pPr>
      <w:r>
        <w:rPr>
          <w:u w:val="single"/>
        </w:rPr>
        <w:t xml:space="preserve">CHAPTER 7958.  ROSE CITY MUNICIPAL UTILITY DISTRICT</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"City" means the City of Tyler.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"District" means the Rose City</w:t>
      </w:r>
      <w:r>
        <w:rPr>
          <w:u w:val="single"/>
        </w:rPr>
        <w:t xml:space="preserve"> </w:t>
      </w:r>
      <w:r>
        <w:rPr>
          <w:u w:val="single"/>
        </w:rPr>
        <w:t xml:space="preserve">Municipal Utility District.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"Utility commission" means the Public Utility Commission of Texas.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7958.0103.</w:t>
      </w:r>
      <w:r>
        <w:rPr>
          <w:u w:val="single"/>
        </w:rPr>
        <w:t xml:space="preserve"> </w:t>
      </w:r>
      <w:r>
        <w:rPr>
          <w:u w:val="single"/>
        </w:rPr>
        <w:t xml:space="preserve"> </w:t>
      </w:r>
      <w:r>
        <w:rPr>
          <w:u w:val="single"/>
        </w:rPr>
        <w:t xml:space="preserve">CONFIRMATION ELECTION REQUIRED.  The initial directors appointed under Section 7958.0201 shall hold an election to confirm the creation of the district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7958.0104.</w:t>
      </w:r>
      <w:r>
        <w:rPr>
          <w:u w:val="single"/>
        </w:rPr>
        <w:t xml:space="preserve"> </w:t>
      </w:r>
      <w:r>
        <w:rPr>
          <w:u w:val="single"/>
        </w:rPr>
        <w:t xml:space="preserve"> </w:t>
      </w:r>
      <w:r>
        <w:rPr>
          <w:u w:val="single"/>
        </w:rPr>
        <w:t xml:space="preserve">CONSENT OF MUNICIPALITY REQUIRED.  The temporary directors may not hold an election under Section 7958.0103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 a municipal utility district as provided by general law and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7958.0201.</w:t>
      </w:r>
      <w:r>
        <w:rPr>
          <w:u w:val="single"/>
        </w:rPr>
        <w:t xml:space="preserve"> </w:t>
      </w:r>
      <w:r>
        <w:rPr>
          <w:u w:val="single"/>
        </w:rPr>
        <w:t xml:space="preserve"> </w:t>
      </w:r>
      <w:r>
        <w:rPr>
          <w:u w:val="single"/>
        </w:rPr>
        <w:t xml:space="preserve">GOVERNING BODY; TERMS.  (a)  The district is governed by a board of five directors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directors appointed by the city;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directors appointed by the Smith County Commissioners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serve staggered four-year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appointing entities shall appoint the initial directors not later than September 1, 2020. The initial directors appointed under Subsection (a)(1) serve a four-year term, and the directors appointed under Subsection (a)(2) serve a two-year term. This subsection expires September 1, 2023.</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7958.0202.</w:t>
      </w:r>
      <w:r>
        <w:rPr>
          <w:u w:val="single"/>
        </w:rPr>
        <w:t xml:space="preserve"> </w:t>
      </w:r>
      <w:r>
        <w:rPr>
          <w:u w:val="single"/>
        </w:rPr>
        <w:t xml:space="preserve"> </w:t>
      </w:r>
      <w:r>
        <w:rPr>
          <w:u w:val="single"/>
        </w:rPr>
        <w:t xml:space="preserve">QUALIFICATIONS OF DIRECTORS.  (a)  Notwithstanding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officer or employee of the city may serve as a director of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governing body of the city may serve as a director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qualifies to serve as a director is qualified to participate in all votes pertaining to the business of the district, subject to Section 49.058,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49.052, Water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7958.0203.</w:t>
      </w:r>
      <w:r>
        <w:rPr>
          <w:u w:val="single"/>
        </w:rPr>
        <w:t xml:space="preserve"> </w:t>
      </w:r>
      <w:r>
        <w:rPr>
          <w:u w:val="single"/>
        </w:rPr>
        <w:t xml:space="preserve"> </w:t>
      </w:r>
      <w:r>
        <w:rPr>
          <w:u w:val="single"/>
        </w:rPr>
        <w:t xml:space="preserve">COMPENSATION; REIMBURSEMENT.  A director serves without compensation but may receive reimbursement for actual expenses reasonably and necessarily incurred while engaging in activities on behalf of the district.</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7958.0302.</w:t>
      </w:r>
      <w:r>
        <w:rPr>
          <w:u w:val="single"/>
        </w:rPr>
        <w:t xml:space="preserve"> </w:t>
      </w:r>
      <w:r>
        <w:rPr>
          <w:u w:val="single"/>
        </w:rPr>
        <w:t xml:space="preserve"> </w:t>
      </w:r>
      <w:r>
        <w:rPr>
          <w:u w:val="single"/>
        </w:rPr>
        <w:t xml:space="preserve">MUNICIPAL UTILITY DISTRICT POWERS AND DUTIES.  (a)  Subject to Subsection (b),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provide only sewer and wastewater services, including the acquisition, construction, contracting, financing, maintenance, operation, and planning of sewer and wastewater facilities or systems.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7958.0303.</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7958.0304.</w:t>
      </w:r>
      <w:r>
        <w:rPr>
          <w:u w:val="single"/>
        </w:rPr>
        <w:t xml:space="preserve"> </w:t>
      </w:r>
      <w:r>
        <w:rPr>
          <w:u w:val="single"/>
        </w:rPr>
        <w:t xml:space="preserve"> </w:t>
      </w:r>
      <w:r>
        <w:rPr>
          <w:u w:val="single"/>
        </w:rPr>
        <w:t xml:space="preserve">LIMITED POWER OF EMINENT DOMAIN.  The district may exercise the power of eminent domain only for the limited purpose of acquiring or constructing sewer and wastewater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7958.0305.</w:t>
      </w:r>
      <w:r>
        <w:rPr>
          <w:u w:val="single"/>
        </w:rPr>
        <w:t xml:space="preserve"> </w:t>
      </w:r>
      <w:r>
        <w:rPr>
          <w:u w:val="single"/>
        </w:rPr>
        <w:t xml:space="preserve"> </w:t>
      </w:r>
      <w:r>
        <w:rPr>
          <w:u w:val="single"/>
        </w:rPr>
        <w:t xml:space="preserve">CONTRACTING.  The district may contract with a political subdivision or private operator to operate and maintain the district's sewer and wastewater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7958.0306.</w:t>
      </w:r>
      <w:r>
        <w:rPr>
          <w:u w:val="single"/>
        </w:rPr>
        <w:t xml:space="preserve"> </w:t>
      </w:r>
      <w:r>
        <w:rPr>
          <w:u w:val="single"/>
        </w:rPr>
        <w:t xml:space="preserve"> </w:t>
      </w:r>
      <w:r>
        <w:rPr>
          <w:u w:val="single"/>
        </w:rPr>
        <w:t xml:space="preserve">CERTIFICATE OF PUBLIC CONVENIENCE AND NECESSITY.  (a)  Notwithstanding Chapter 13, Water Code, the district may provide sewer and wastewater service without a certificate of convenience and necessity.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before the date the district intends to provide sewer and wastewater service, the district must notify the utility commission and each retail public utility that provides sewer and wastewater services in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district does not acquire a retail public utility that holds a certificate of public convenience and necessity for providing sewer and wastewater service in the district territory,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30th day after the date the district begins providing sewer and wastewater service, petition the utility commission to decertify the territory inside the district of the existing certificate holder;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compensate the existing certificate holder in an amount determined by the utility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7958.0307.</w:t>
      </w:r>
      <w:r>
        <w:rPr>
          <w:u w:val="single"/>
        </w:rPr>
        <w:t xml:space="preserve"> </w:t>
      </w:r>
      <w:r>
        <w:rPr>
          <w:u w:val="single"/>
        </w:rPr>
        <w:t xml:space="preserve"> </w:t>
      </w:r>
      <w:r>
        <w:rPr>
          <w:u w:val="single"/>
        </w:rPr>
        <w:t xml:space="preserve">PROFESSIONAL SERVICES.  The district may contract with a political subdivision to provide professional services for the district, including legal services related to the exercise of eminent domain.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7958.0308.</w:t>
      </w:r>
      <w:r>
        <w:rPr>
          <w:u w:val="single"/>
        </w:rPr>
        <w:t xml:space="preserve"> </w:t>
      </w:r>
      <w:r>
        <w:rPr>
          <w:u w:val="single"/>
        </w:rPr>
        <w:t xml:space="preserve"> </w:t>
      </w:r>
      <w:r>
        <w:rPr>
          <w:u w:val="single"/>
        </w:rPr>
        <w:t xml:space="preserve">SUPERMAJORITY VOTE REQUIRED FOR CERTAIN ACTIONS.  At least four board members must vote in favor of a resolution before the board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increase rates or assessments by more than five percent;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incur debt or increase the amount of debt that the district has outstanding;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order a dissolution election under Section 7958.0601.</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7958.0401.</w:t>
      </w:r>
      <w:r>
        <w:rPr>
          <w:u w:val="single"/>
        </w:rPr>
        <w:t xml:space="preserve"> </w:t>
      </w:r>
      <w:r>
        <w:rPr>
          <w:u w:val="single"/>
        </w:rPr>
        <w:t xml:space="preserve"> </w:t>
      </w:r>
      <w:r>
        <w:rPr>
          <w:u w:val="single"/>
        </w:rPr>
        <w:t xml:space="preserve">ELECTIONS REGARDING BONDS.  The district may issue, without an election, bonds and other obligations secured by revenue other than ad valorem taxes.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7958.0402.</w:t>
      </w:r>
      <w:r>
        <w:rPr>
          <w:u w:val="single"/>
        </w:rPr>
        <w:t xml:space="preserve"> </w:t>
      </w:r>
      <w:r>
        <w:rPr>
          <w:u w:val="single"/>
        </w:rPr>
        <w:t xml:space="preserve"> </w:t>
      </w:r>
      <w:r>
        <w:rPr>
          <w:u w:val="single"/>
        </w:rPr>
        <w:t xml:space="preserve">PROHIBITION ON IMPOSITION OF TAXES. (a) The district may not impose an ad valorem tax for any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49.107, Water Code, does not apply to the district.</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impact fees, revenue, contract payments, grants, or other district money, or any combination of those sources, to pay for any authorized district purpose.</w:t>
      </w:r>
    </w:p>
    <w:p w:rsidR="003F3435" w:rsidRDefault="0032493E">
      <w:pPr>
        <w:spacing w:line="480" w:lineRule="auto"/>
        <w:jc w:val="center"/>
      </w:pPr>
      <w:r>
        <w:rPr>
          <w:u w:val="single"/>
        </w:rPr>
        <w:t xml:space="preserve">SUBCHAPTER F.  DISSOLUTION BY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7958.0601.</w:t>
      </w:r>
      <w:r>
        <w:rPr>
          <w:u w:val="single"/>
        </w:rPr>
        <w:t xml:space="preserve"> </w:t>
      </w:r>
      <w:r>
        <w:rPr>
          <w:u w:val="single"/>
        </w:rPr>
        <w:t xml:space="preserve"> </w:t>
      </w:r>
      <w:r>
        <w:rPr>
          <w:u w:val="single"/>
        </w:rPr>
        <w:t xml:space="preserve">DISSOLUTION ELECTION CALLED BY BOARD.  The board may order an election on the question of dissolving the district and transferring the district's assets and obligations to another political subdivision of the state, if the board concludes after a public hearing held on the issue that it is in the best interest of the district's residents and of the persons served by the district for the district to dissolve.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7958.0602.</w:t>
      </w:r>
      <w:r>
        <w:rPr>
          <w:u w:val="single"/>
        </w:rPr>
        <w:t xml:space="preserve"> </w:t>
      </w:r>
      <w:r>
        <w:rPr>
          <w:u w:val="single"/>
        </w:rPr>
        <w:t xml:space="preserve"> </w:t>
      </w:r>
      <w:r>
        <w:rPr>
          <w:u w:val="single"/>
        </w:rPr>
        <w:t xml:space="preserve">DISSOLUTION ELECTION CALLED BY PETITION.  The board shall order an election on the question of dissolving the district and transferring the district's assets and obligations to another political subdivision of the state if the board receives a petition requesting an election on that question.  The petition must be signed by at least 15 percent of the district's registered voters.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7958.0603.</w:t>
      </w:r>
      <w:r>
        <w:rPr>
          <w:u w:val="single"/>
        </w:rPr>
        <w:t xml:space="preserve"> </w:t>
      </w:r>
      <w:r>
        <w:rPr>
          <w:u w:val="single"/>
        </w:rPr>
        <w:t xml:space="preserve"> </w:t>
      </w:r>
      <w:r>
        <w:rPr>
          <w:u w:val="single"/>
        </w:rPr>
        <w:t xml:space="preserve">ELECTION ORDER.  An order calling an election held under this subchapter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nature of the election, including the proposition that is to appear on the ballot;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of the election;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hours during which the polls will be open;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location of the polling places.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7958.0604.</w:t>
      </w:r>
      <w:r>
        <w:rPr>
          <w:u w:val="single"/>
        </w:rPr>
        <w:t xml:space="preserve"> </w:t>
      </w:r>
      <w:r>
        <w:rPr>
          <w:u w:val="single"/>
        </w:rPr>
        <w:t xml:space="preserve"> </w:t>
      </w:r>
      <w:r>
        <w:rPr>
          <w:u w:val="single"/>
        </w:rPr>
        <w:t xml:space="preserve">NOTICE OF DISSOLUTION ELECTION.  (a)  The board shall give notice of an election ordered under this subchapter by publishing a substantial copy of the election order in a newspaper with general circulation in the district once a week for two consecutive weeks.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first publication must appear not later than the 30th day before the date set for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7958.0605.</w:t>
      </w:r>
      <w:r>
        <w:rPr>
          <w:u w:val="single"/>
        </w:rPr>
        <w:t xml:space="preserve"> </w:t>
      </w:r>
      <w:r>
        <w:rPr>
          <w:u w:val="single"/>
        </w:rPr>
        <w:t xml:space="preserve"> </w:t>
      </w:r>
      <w:r>
        <w:rPr>
          <w:u w:val="single"/>
        </w:rPr>
        <w:t xml:space="preserve">APPLICABILITY OF UNIFORM ELECTION DATES.  Section 41.001, Election Code, does not apply to an election held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7958.0606.</w:t>
      </w:r>
      <w:r>
        <w:rPr>
          <w:u w:val="single"/>
        </w:rPr>
        <w:t xml:space="preserve"> </w:t>
      </w:r>
      <w:r>
        <w:rPr>
          <w:u w:val="single"/>
        </w:rPr>
        <w:t xml:space="preserve"> </w:t>
      </w:r>
      <w:r>
        <w:rPr>
          <w:u w:val="single"/>
        </w:rPr>
        <w:t xml:space="preserve">ELECTION RESULTS.  (a)  If a majority of the votes in an election held under this subchapter favor dissolution, the board shall order that the district be dissolved.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majority of the votes in an election held under this subchapter do not favor dissolution, the board shall continue to administer the district, and another election on the question of dissolution may not be held before the first anniversary of the date of the most recent election held on the question of dissolving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7958.0607.</w:t>
      </w:r>
      <w:r>
        <w:rPr>
          <w:u w:val="single"/>
        </w:rPr>
        <w:t xml:space="preserve"> </w:t>
      </w:r>
      <w:r>
        <w:rPr>
          <w:u w:val="single"/>
        </w:rPr>
        <w:t xml:space="preserve"> </w:t>
      </w:r>
      <w:r>
        <w:rPr>
          <w:u w:val="single"/>
        </w:rPr>
        <w:t xml:space="preserve">TRANSFER OF ASSETS, OBLIGATIONS, AND PROVISION OF SERVICES.  (a)  As soon as practicable following the issuance of an order under Section 7958.0606(a), 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begin the process of transferring the district's assets and obligations to one or more political subdivisions in a fair and equitable manner;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 the property, assets, and debts of the district until all money has been disposed of and all district debts have been paid or settled.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district provides services, the board or a receiver appointed under Section 7958.0608 shall make arrangements for the uninterrupted provision of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7958.0608.</w:t>
      </w:r>
      <w:r>
        <w:rPr>
          <w:u w:val="single"/>
        </w:rPr>
        <w:t xml:space="preserve"> </w:t>
      </w:r>
      <w:r>
        <w:rPr>
          <w:u w:val="single"/>
        </w:rPr>
        <w:t xml:space="preserve"> </w:t>
      </w:r>
      <w:r>
        <w:rPr>
          <w:u w:val="single"/>
        </w:rPr>
        <w:t xml:space="preserve">RECEIVER.  If the executive director of the commission determines that the board has failed to make substantial progress in transferring the district's assets and obligations to one or more political subdivisions in a fair and equitable manner, the executive director shall appoint a receiver for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7958.0609.</w:t>
      </w:r>
      <w:r>
        <w:rPr>
          <w:u w:val="single"/>
        </w:rPr>
        <w:t xml:space="preserve"> </w:t>
      </w:r>
      <w:r>
        <w:rPr>
          <w:u w:val="single"/>
        </w:rPr>
        <w:t xml:space="preserve"> </w:t>
      </w:r>
      <w:r>
        <w:rPr>
          <w:u w:val="single"/>
        </w:rPr>
        <w:t xml:space="preserve">REPORT; DISSOLUTION ORDER.  (a)  After the district has transferred all of the district's assets and obligations and has arranged for the continued provision of services provided by the district, if applicable, the board shall file a written report with the commission summarizing the board's actions in dissolving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10th day after the date the commission receives the report and determines that the requirements of this subchapter have been fulfilled, the commission shall enter an order dissolving the district.</w:t>
      </w:r>
    </w:p>
    <w:p w:rsidR="003F3435" w:rsidRDefault="0032493E">
      <w:pPr>
        <w:spacing w:line="480" w:lineRule="auto"/>
        <w:jc w:val="center"/>
      </w:pPr>
      <w:r>
        <w:rPr>
          <w:u w:val="single"/>
        </w:rPr>
        <w:t xml:space="preserve">SUBCHAPTER G.  ANNEXATION OF LAND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7958.0701.</w:t>
      </w:r>
      <w:r>
        <w:rPr>
          <w:u w:val="single"/>
        </w:rPr>
        <w:t xml:space="preserve"> </w:t>
      </w:r>
      <w:r>
        <w:rPr>
          <w:u w:val="single"/>
        </w:rPr>
        <w:t xml:space="preserve"> </w:t>
      </w:r>
      <w:r>
        <w:rPr>
          <w:u w:val="single"/>
        </w:rPr>
        <w:t xml:space="preserve">GENERAL ANNEXATION PROVISIONS.  (a)  Except as provided by this section, Subchapter J, Chapter 49, Water Code, applies to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requirements of Section 49.302(b), Water Code, the petition must also be signed by a majority of registered voters in the defined area to be annexed.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7958.0702.</w:t>
      </w:r>
      <w:r>
        <w:rPr>
          <w:u w:val="single"/>
        </w:rPr>
        <w:t xml:space="preserve"> </w:t>
      </w:r>
      <w:r>
        <w:rPr>
          <w:u w:val="single"/>
        </w:rPr>
        <w:t xml:space="preserve"> </w:t>
      </w:r>
      <w:r>
        <w:rPr>
          <w:u w:val="single"/>
        </w:rPr>
        <w:t xml:space="preserve">RETALIATION FOR ANNEXATION DISAPPROVAL PROHIBITED.  (a)  The disapproval of the proposed annexation of an area by the district does not affect any existing legal obligation of the district to continue to provide services in the area, including wastewater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initiate a rate proceeding solely because of the disapproval of a proposed annexation of an area.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Rose City Municipal Utility District initially includes all the territory contained in the following area:</w:t>
      </w:r>
    </w:p>
    <w:p w:rsidR="003F3435" w:rsidRDefault="0032493E">
      <w:pPr>
        <w:spacing w:line="480" w:lineRule="auto"/>
        <w:jc w:val="both"/>
      </w:pPr>
      <w:r>
        <w:t xml:space="preserve">BEING a 21,118 acre tract of land situated in Smith County, Texas, said 21,118 acre tract being more completely described by metes and bounds as follows:</w:t>
      </w:r>
    </w:p>
    <w:p w:rsidR="003F3435" w:rsidRDefault="0032493E">
      <w:pPr>
        <w:spacing w:line="480" w:lineRule="auto"/>
        <w:jc w:val="both"/>
      </w:pPr>
      <w:r>
        <w:t xml:space="preserve">BEGINNING at the intersection of the centerline of State Highway No.</w:t>
      </w:r>
      <w:r xml:space="preserve">
        <w:t> </w:t>
      </w:r>
      <w:r>
        <w:t xml:space="preserve">155 with State Highway 57 (West Grande Boulevard);</w:t>
      </w:r>
    </w:p>
    <w:p w:rsidR="003F3435" w:rsidRDefault="0032493E">
      <w:pPr>
        <w:spacing w:line="480" w:lineRule="auto"/>
        <w:jc w:val="both"/>
      </w:pPr>
      <w:r>
        <w:t xml:space="preserve">THENCE Easterly with the centerline of West Grande Boulevard to its intersection with F.M. 2493 (Old Jacksonville Highway);</w:t>
      </w:r>
    </w:p>
    <w:p w:rsidR="003F3435" w:rsidRDefault="0032493E">
      <w:pPr>
        <w:spacing w:line="480" w:lineRule="auto"/>
        <w:jc w:val="both"/>
      </w:pPr>
      <w:r>
        <w:t xml:space="preserve">THENCE Southwesterly with the centerline of F.M. 2493 (Old Jacksonville Highway) to its intersection with Three Lakes Parkway;</w:t>
      </w:r>
    </w:p>
    <w:p w:rsidR="003F3435" w:rsidRDefault="0032493E">
      <w:pPr>
        <w:spacing w:line="480" w:lineRule="auto"/>
        <w:jc w:val="both"/>
      </w:pPr>
      <w:r>
        <w:t xml:space="preserve">THENCE Southeasterly with the centerline of Three Lakes Parkway to its intersection with Dueling Oaks;</w:t>
      </w:r>
    </w:p>
    <w:p w:rsidR="003F3435" w:rsidRDefault="0032493E">
      <w:pPr>
        <w:spacing w:line="480" w:lineRule="auto"/>
        <w:jc w:val="both"/>
      </w:pPr>
      <w:r>
        <w:t xml:space="preserve">THENCE Easterly with the centerline of Dueling Oaks to its intersection with Hollytree Drive;</w:t>
      </w:r>
    </w:p>
    <w:p w:rsidR="003F3435" w:rsidRDefault="0032493E">
      <w:pPr>
        <w:spacing w:line="480" w:lineRule="auto"/>
        <w:jc w:val="both"/>
      </w:pPr>
      <w:r>
        <w:t xml:space="preserve">THENCE Southwesterly with the centerline of Hollytree Drive to its intersection with Maple Lane;</w:t>
      </w:r>
    </w:p>
    <w:p w:rsidR="003F3435" w:rsidRDefault="0032493E">
      <w:pPr>
        <w:spacing w:line="480" w:lineRule="auto"/>
        <w:jc w:val="both"/>
      </w:pPr>
      <w:r>
        <w:t xml:space="preserve">THENCE Southerly with the centerline of Maple Lane to its intersection with West Cumberland Road;</w:t>
      </w:r>
    </w:p>
    <w:p w:rsidR="003F3435" w:rsidRDefault="0032493E">
      <w:pPr>
        <w:spacing w:line="480" w:lineRule="auto"/>
        <w:jc w:val="both"/>
      </w:pPr>
      <w:r>
        <w:t xml:space="preserve">THENCE Easterly with the centerline of West Cumberland Road to its intersection with U.S. Highway 69 (South Broadway Ave.);</w:t>
      </w:r>
    </w:p>
    <w:p w:rsidR="003F3435" w:rsidRDefault="0032493E">
      <w:pPr>
        <w:spacing w:line="480" w:lineRule="auto"/>
        <w:jc w:val="both"/>
      </w:pPr>
      <w:r>
        <w:t xml:space="preserve">THENCE Southerly with the centerline of U.S. Highway 69 (South Broadway Ave.) to its intersection with Loop 49;</w:t>
      </w:r>
    </w:p>
    <w:p w:rsidR="003F3435" w:rsidRDefault="0032493E">
      <w:pPr>
        <w:spacing w:line="480" w:lineRule="auto"/>
        <w:jc w:val="both"/>
      </w:pPr>
      <w:r>
        <w:t xml:space="preserve">THENCE Northeasterly with the centerline of Loop 49 to its intersection with F.M. 756 (South Paluxy Drive);</w:t>
      </w:r>
    </w:p>
    <w:p w:rsidR="003F3435" w:rsidRDefault="0032493E">
      <w:pPr>
        <w:spacing w:line="480" w:lineRule="auto"/>
        <w:jc w:val="both"/>
      </w:pPr>
      <w:r>
        <w:t xml:space="preserve">THENCE Southeasterly with the centerline of F.M. 756 (South Paluxy Drive) to its intersection with F.M. 346;</w:t>
      </w:r>
    </w:p>
    <w:p w:rsidR="003F3435" w:rsidRDefault="0032493E">
      <w:pPr>
        <w:spacing w:line="480" w:lineRule="auto"/>
        <w:jc w:val="both"/>
      </w:pPr>
      <w:r>
        <w:t xml:space="preserve">THENCE Southwesterly with the centerline of F.M. 346 to its intersection with County Road 15;</w:t>
      </w:r>
    </w:p>
    <w:p w:rsidR="003F3435" w:rsidRDefault="0032493E">
      <w:pPr>
        <w:spacing w:line="480" w:lineRule="auto"/>
        <w:jc w:val="both"/>
      </w:pPr>
      <w:r>
        <w:t xml:space="preserve">THENCE Southerly with the centerline of County Road 15 to its intersection with County Road 129;</w:t>
      </w:r>
    </w:p>
    <w:p w:rsidR="003F3435" w:rsidRDefault="0032493E">
      <w:pPr>
        <w:spacing w:line="480" w:lineRule="auto"/>
        <w:jc w:val="both"/>
      </w:pPr>
      <w:r>
        <w:t xml:space="preserve">THENCE Northeasterly with the centerline of County Road 129 to its intersection with County Road 112;</w:t>
      </w:r>
    </w:p>
    <w:p w:rsidR="003F3435" w:rsidRDefault="0032493E">
      <w:pPr>
        <w:spacing w:line="480" w:lineRule="auto"/>
        <w:jc w:val="both"/>
      </w:pPr>
      <w:r>
        <w:t xml:space="preserve">THENCE with the centerline of County Road 112 to its intersection with County Road 113;</w:t>
      </w:r>
    </w:p>
    <w:p w:rsidR="003F3435" w:rsidRDefault="0032493E">
      <w:pPr>
        <w:spacing w:line="480" w:lineRule="auto"/>
        <w:jc w:val="both"/>
      </w:pPr>
      <w:r>
        <w:t xml:space="preserve">THENCE with the centerline of County Road 113 to its intersection with County Road 152;</w:t>
      </w:r>
    </w:p>
    <w:p w:rsidR="003F3435" w:rsidRDefault="0032493E">
      <w:pPr>
        <w:spacing w:line="480" w:lineRule="auto"/>
        <w:jc w:val="both"/>
      </w:pPr>
      <w:r>
        <w:t xml:space="preserve">THENCE Southwesterly with the centerline of County Road 152 to its intersection with U.S.</w:t>
      </w:r>
      <w:r xml:space="preserve">
        <w:t> </w:t>
      </w:r>
      <w:r>
        <w:t xml:space="preserve">Highway No.</w:t>
      </w:r>
      <w:r xml:space="preserve">
        <w:t> </w:t>
      </w:r>
      <w:r>
        <w:t xml:space="preserve">69;</w:t>
      </w:r>
    </w:p>
    <w:p w:rsidR="003F3435" w:rsidRDefault="0032493E">
      <w:pPr>
        <w:spacing w:line="480" w:lineRule="auto"/>
        <w:jc w:val="both"/>
      </w:pPr>
      <w:r>
        <w:t xml:space="preserve">THENCE Southeasterly with the centerline of U.S. Highway No.</w:t>
      </w:r>
      <w:r xml:space="preserve">
        <w:t> </w:t>
      </w:r>
      <w:r>
        <w:t xml:space="preserve">69 to its intersection with the South boundary line of Liberty Utilities (Woodmark) CCN 20679 as shown by digital map on 3-08-2019 per the Public Utility Commission of Texas website, same being on the East boundary line of the City of Bullard, Texas, Sewer CCN 20903 as shown by digital map on 3-08-2019 per the Public Utility Commission of Texas website;</w:t>
      </w:r>
    </w:p>
    <w:p w:rsidR="003F3435" w:rsidRDefault="0032493E">
      <w:pPr>
        <w:spacing w:line="480" w:lineRule="auto"/>
        <w:jc w:val="both"/>
      </w:pPr>
      <w:r>
        <w:t xml:space="preserve">THENCE Southwesterly with said East boundary line of Bullard, Texas CCN 20903 and South boundary line of Liberty Utilities (Woodmark) CCN 20679 to its intersection with Tyler and Bullard ETJ Agreement Boundary;</w:t>
      </w:r>
    </w:p>
    <w:p w:rsidR="003F3435" w:rsidRDefault="0032493E">
      <w:pPr>
        <w:spacing w:line="480" w:lineRule="auto"/>
        <w:jc w:val="both"/>
      </w:pPr>
      <w:r>
        <w:t xml:space="preserve">THENCE South 87° 24 min 9 sec West with a distance of 228.46 ft;</w:t>
      </w:r>
    </w:p>
    <w:p w:rsidR="003F3435" w:rsidRDefault="0032493E">
      <w:pPr>
        <w:spacing w:line="480" w:lineRule="auto"/>
        <w:jc w:val="both"/>
      </w:pPr>
      <w:r>
        <w:t xml:space="preserve">THENCE South 87° 15 min 49 sec West with a distance of 1,411.05 ft;</w:t>
      </w:r>
    </w:p>
    <w:p w:rsidR="003F3435" w:rsidRDefault="0032493E">
      <w:pPr>
        <w:spacing w:line="480" w:lineRule="auto"/>
        <w:jc w:val="both"/>
      </w:pPr>
      <w:r>
        <w:t xml:space="preserve">THENCE North 3° 23 min 18 sec West with a distance of 116.67 ft;</w:t>
      </w:r>
    </w:p>
    <w:p w:rsidR="003F3435" w:rsidRDefault="0032493E">
      <w:pPr>
        <w:spacing w:line="480" w:lineRule="auto"/>
        <w:jc w:val="both"/>
      </w:pPr>
      <w:r>
        <w:t xml:space="preserve">THENCE South 57°</w:t>
      </w:r>
      <w:r>
        <w:t xml:space="preserve"> 12 min 37 sec West with a distance of 519.18 ft to its intersection with F. M. 2493;</w:t>
      </w:r>
    </w:p>
    <w:p w:rsidR="003F3435" w:rsidRDefault="0032493E">
      <w:pPr>
        <w:spacing w:line="480" w:lineRule="auto"/>
        <w:jc w:val="both"/>
      </w:pPr>
      <w:r>
        <w:t xml:space="preserve">THENCE Northwesterly with the centerline of F.M. 2493 to an ell corner in the West line of said CCN 20679;</w:t>
      </w:r>
    </w:p>
    <w:p w:rsidR="003F3435" w:rsidRDefault="0032493E">
      <w:pPr>
        <w:spacing w:line="480" w:lineRule="auto"/>
        <w:jc w:val="both"/>
      </w:pPr>
      <w:r>
        <w:t xml:space="preserve">THENCE West continuing with the West boundary line of said CCN 20679 to its intersection with the centerline of County Road 173 and being the Westerly Southwest corner of said CCN 20679;</w:t>
      </w:r>
    </w:p>
    <w:p w:rsidR="003F3435" w:rsidRDefault="0032493E">
      <w:pPr>
        <w:spacing w:line="480" w:lineRule="auto"/>
        <w:jc w:val="both"/>
      </w:pPr>
      <w:r>
        <w:t xml:space="preserve">THENCE Northerly with the centerline of County Road 173 to its intersection with the centerline of County Road 175;</w:t>
      </w:r>
    </w:p>
    <w:p w:rsidR="003F3435" w:rsidRDefault="0032493E">
      <w:pPr>
        <w:spacing w:line="480" w:lineRule="auto"/>
        <w:jc w:val="both"/>
      </w:pPr>
      <w:r>
        <w:t xml:space="preserve">THENCE Westerly with the centerline of County Road 175 to its intersection with the centerline of F.M. 346;</w:t>
      </w:r>
    </w:p>
    <w:p w:rsidR="003F3435" w:rsidRDefault="0032493E">
      <w:pPr>
        <w:spacing w:line="480" w:lineRule="auto"/>
        <w:jc w:val="both"/>
      </w:pPr>
      <w:r>
        <w:t xml:space="preserve">THENCE Westerly with the centerline of F.M. 346 to its intersection with the centerline of County Road 185 (Oak Hollow Road);</w:t>
      </w:r>
    </w:p>
    <w:p w:rsidR="003F3435" w:rsidRDefault="0032493E">
      <w:pPr>
        <w:spacing w:line="480" w:lineRule="auto"/>
        <w:jc w:val="both"/>
      </w:pPr>
      <w:r>
        <w:t xml:space="preserve">THENCE Westerly with the centerline of County Road 185 to its intersection with the centerline of County Road 178 (Old Palestine Highway);</w:t>
      </w:r>
    </w:p>
    <w:p w:rsidR="003F3435" w:rsidRDefault="0032493E">
      <w:pPr>
        <w:spacing w:line="480" w:lineRule="auto"/>
        <w:jc w:val="both"/>
      </w:pPr>
      <w:r>
        <w:t xml:space="preserve">THENCE Northeasterly with the centerline of County Road 178 (Old Palestine Highway) to its intersection with the centerline of County Road 168 (Saline Creek Road);</w:t>
      </w:r>
    </w:p>
    <w:p w:rsidR="003F3435" w:rsidRDefault="0032493E">
      <w:pPr>
        <w:spacing w:line="480" w:lineRule="auto"/>
        <w:jc w:val="both"/>
      </w:pPr>
      <w:r>
        <w:t xml:space="preserve">THENCE Northeasterly with the centerline of County Road 168 to its intersection with the centerline of County Road 178 (Jonestown Road);</w:t>
      </w:r>
    </w:p>
    <w:p w:rsidR="003F3435" w:rsidRDefault="0032493E">
      <w:pPr>
        <w:spacing w:line="480" w:lineRule="auto"/>
        <w:jc w:val="both"/>
      </w:pPr>
      <w:r>
        <w:t xml:space="preserve">THENCE North with the centerline of County Road 178 to its intersection with the centerline of County Road 192 (Old Noonday Road);</w:t>
      </w:r>
    </w:p>
    <w:p w:rsidR="003F3435" w:rsidRDefault="0032493E">
      <w:pPr>
        <w:spacing w:line="480" w:lineRule="auto"/>
        <w:jc w:val="both"/>
      </w:pPr>
      <w:r>
        <w:t xml:space="preserve">THENCE Northeasterly with the centerline of County Road 192 to its intersection with the centerline of County Road 193 (Taylor Road);</w:t>
      </w:r>
    </w:p>
    <w:p w:rsidR="003F3435" w:rsidRDefault="0032493E">
      <w:pPr>
        <w:spacing w:line="480" w:lineRule="auto"/>
        <w:jc w:val="both"/>
      </w:pPr>
      <w:r>
        <w:t xml:space="preserve">THENCE Northwesterly with the centerline of County Road 193 to its intersection with the centerline of State Highway No.</w:t>
      </w:r>
      <w:r xml:space="preserve">
        <w:t> </w:t>
      </w:r>
      <w:r>
        <w:t xml:space="preserve">155;</w:t>
      </w:r>
    </w:p>
    <w:p w:rsidR="003F3435" w:rsidRDefault="0032493E">
      <w:pPr>
        <w:spacing w:line="480" w:lineRule="auto"/>
        <w:jc w:val="both"/>
      </w:pPr>
      <w:r>
        <w:t xml:space="preserve">THENCE Northeasterly with the centerline of State Highway No.</w:t>
      </w:r>
      <w:r xml:space="preserve">
        <w:t> </w:t>
      </w:r>
      <w:r>
        <w:t xml:space="preserve">155 to the place of beginning containing 21,118 acres of land, plus or minus.</w:t>
      </w:r>
    </w:p>
    <w:p w:rsidR="003F3435" w:rsidRDefault="0032493E">
      <w:pPr>
        <w:spacing w:line="480" w:lineRule="auto"/>
        <w:jc w:val="both"/>
      </w:pPr>
      <w:r>
        <w:t xml:space="preserve">"This document was prepared under 22 TAC §663.21,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3F3435" w:rsidRDefault="0032493E">
      <w:pPr>
        <w:spacing w:line="480" w:lineRule="auto"/>
        <w:jc w:val="both"/>
      </w:pPr>
      <w:r>
        <w:t xml:space="preserve">The acreage shown were calculated from aerial photography and are an approximation only.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Section 7958.0304, Special District Local Laws Code, as added by Section 1 of this Act, takes effect only if this Act receives a two-thirds vote of all the members elected to each house.</w:t>
      </w:r>
    </w:p>
    <w:p w:rsidR="003F3435" w:rsidRDefault="0032493E">
      <w:pPr>
        <w:spacing w:line="480" w:lineRule="auto"/>
        <w:ind w:firstLine="720"/>
        <w:jc w:val="both"/>
      </w:pPr>
      <w:r>
        <w:t xml:space="preserve">(b)</w:t>
      </w:r>
      <w:r xml:space="preserve">
        <w:t> </w:t>
      </w:r>
      <w:r xml:space="preserve">
        <w:t> </w:t>
      </w:r>
      <w:r>
        <w:t xml:space="preserve">If this Act does not receive a two-thirds vote of all the members elected to each house, Subchapter C, Chapter 7958, Special District Local Laws Code, as added by Section 1 of this Act, is amended by adding Section 7958.0304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7958.0304.</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(c)</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4749 was passed by the House on May 10, 2019, by the following vote:</w:t>
      </w:r>
      <w:r xml:space="preserve">
        <w:t> </w:t>
      </w:r>
      <w:r xml:space="preserve">
        <w:t> </w:t>
      </w:r>
      <w:r>
        <w:t xml:space="preserve">Yeas 123, Nays 18, 2 present, not voting; that the House refused to concur in Senate amendments to H.B. No. 4749 on May 23, 2019, and requested the appointment of a conference committee to consider the differences between the two houses; and that the House adopted the conference committee report on H.B. No. 4749 on May 25, 2019, by the following vote:</w:t>
      </w:r>
      <w:r xml:space="preserve">
        <w:t> </w:t>
      </w:r>
      <w:r xml:space="preserve">
        <w:t> </w:t>
      </w:r>
      <w:r>
        <w:t xml:space="preserve">Yeas 75, Nays 62,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
        <w:br w:type="page"/>
      </w:r>
    </w:p>
    <w:p w:rsidR="003F3435" w:rsidRDefault="0032493E">
      <w:pPr>
        <w:spacing w:line="480" w:lineRule="auto"/>
        <w:ind w:firstLine="720"/>
        <w:jc w:val="both"/>
      </w:pPr>
      <w:r>
        <w:t xml:space="preserve">I certify that H.B. No. 4749 was passed by the Senate, with amendments, on May 21, 2019, by the following vote:</w:t>
      </w:r>
      <w:r xml:space="preserve">
        <w:t> </w:t>
      </w:r>
      <w:r xml:space="preserve">
        <w:t> </w:t>
      </w:r>
      <w:r>
        <w:t xml:space="preserve">Yeas 29, Nays 2; at the request of the House, the Senate appointed a conference committee to consider the differences between the two houses; and that the Senate adopted the conference committee report on H.B. No. 4749 on May 25, 2019, by the following vote:</w:t>
      </w:r>
      <w:r xml:space="preserve">
        <w:t> </w:t>
      </w:r>
      <w:r xml:space="preserve">
        <w:t> </w:t>
      </w:r>
      <w:r>
        <w:t xml:space="preserve">Yeas 28,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