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86R15370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4751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entry into the Texas Crime Information Center of certain information regarding conditions of bond imposed in criminal cases involving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17.49, Code of Criminal Procedure, is amended by adding Subsections (m), (n), (o), (p), (q), (r), (s), and (t)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As soon as possible but not later than the next business day after the date the magistrate issues an order imposing a condition of bond or modifying or removing a condition imposed under this article, the magistrate shall send a copy of the order to the chief of police in the municipality where the victim of the offense resides, if the victim resides in a municipality, or to the sheriff of the county where the victim resides, if the victim does not reside in a municipality. The clerk of the court shall send a copy of the order to the victim at the victim's last known address as soon as possible but not later than the next business day after the date the order is issued.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magistrate or clerk of the court may delay sending a copy of the order under Subsection (m) only if the magistrate or clerk lacks information necessary to ensure service and enforcement.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an order described by Subsection (m) prohibits a defendant from going to or near a child care facility or school, the magistrate shall send a copy of the order to the applicable child care facility or school.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copy of the order and any related information may be sent under Subsection (m) or (o) electronically or in another manner that can be accessed by the recipient.</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If the victim of the offense is not present when an order described by Subsection (m) is issued, the magistrate shall order a peace officer to make a good faith effort to provide notice of the order to the victim within 24 hours by calling the victim's last known phone number.</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 later than the third business day after the date of receipt of the copy of an order described by Subsection (m) by the applicable law enforcement agency, the law enforcement agency shall enter the following information into the statewide law enforcement information system maintained by the Department of Public Safety or shall modify or remove that information,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listed in Section 411.042(b)(6), Government Code, as that information relates to an order issued under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order releasing the defendant on bond was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that issued the order releasing the defendant on bond.</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law enforcement agency shall enter the information described by Subsection (r) into the statewide law enforcement information system maintained by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same manner that the agency enters the information into the system for a protective order or magistrate's order of emergency protection;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whether a protective order or magistrate's order of emergency protection: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issued or has been entered into the system with respect to the defendant;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protects the same person as a condition of bond in an order described by Subsection (m).</w:t>
      </w:r>
      <w:r>
        <w:t xml:space="preserve"> </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Department of Public Safety shall modify the department's statewide law enforcement information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 the system to accept and maintain detailed information regarding the requirements and status of a condition of bond imposed under this article, including information described by Subsection (r), so that a peace officer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easily and quickly search the system by one or more criteria related to the information described by Subsection (r), including the name of the defendant on whom the condition is imposed;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retrieve the information necessary to enforce the condition of bond or prevent a violation of the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person who accesses the system for the purpose of entering, modifying, or removing information that relates to a condition of bond imposed under this article may add or remove notes regarding the condition, the defendant on whom the condition is imposed, or the person protected by the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