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86R30385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4753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4753:</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C.S.H.B.</w:t>
      </w:r>
      <w:r xml:space="preserve">
        <w:t> </w:t>
      </w:r>
      <w:r>
        <w:t xml:space="preserve">No.</w:t>
      </w:r>
      <w:r xml:space="preserve">
        <w:t> </w:t>
      </w:r>
      <w:r>
        <w:t xml:space="preserve">4753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cost of child care in this state in comparison to family income.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Workforce Commission shall conduct a study regarding the cost of child care in this state in comparison to family income.  The study must:</w:t>
      </w:r>
    </w:p>
    <w:p w:rsidR="003F3435" w:rsidRDefault="0032493E">
      <w:pPr>
        <w:spacing w:line="480" w:lineRule="auto"/>
        <w:ind w:firstLine="1440"/>
        <w:jc w:val="both"/>
      </w:pPr>
      <w:r>
        <w:t xml:space="preserve">(1)</w:t>
      </w:r>
      <w:r xml:space="preserve">
        <w:t> </w:t>
      </w:r>
      <w:r xml:space="preserve">
        <w:t> </w:t>
      </w:r>
      <w:r>
        <w:t xml:space="preserve">examine:</w:t>
      </w:r>
    </w:p>
    <w:p w:rsidR="003F3435" w:rsidRDefault="0032493E">
      <w:pPr>
        <w:spacing w:line="480" w:lineRule="auto"/>
        <w:ind w:firstLine="2160"/>
        <w:jc w:val="both"/>
      </w:pPr>
      <w:r>
        <w:t xml:space="preserve">(A)</w:t>
      </w:r>
      <w:r xml:space="preserve">
        <w:t> </w:t>
      </w:r>
      <w:r xml:space="preserve">
        <w:t> </w:t>
      </w:r>
      <w:r>
        <w:t xml:space="preserve">trends in child-care costs and projections for future child-care costs;</w:t>
      </w:r>
    </w:p>
    <w:p w:rsidR="003F3435" w:rsidRDefault="0032493E">
      <w:pPr>
        <w:spacing w:line="480" w:lineRule="auto"/>
        <w:ind w:firstLine="2160"/>
        <w:jc w:val="both"/>
      </w:pPr>
      <w:r>
        <w:t xml:space="preserve">(B)</w:t>
      </w:r>
      <w:r xml:space="preserve">
        <w:t> </w:t>
      </w:r>
      <w:r xml:space="preserve">
        <w:t> </w:t>
      </w:r>
      <w:r>
        <w:t xml:space="preserve">child-care costs in comparison to family income based on federal poverty guidelines, state median income, or other relevant income standards; and</w:t>
      </w:r>
    </w:p>
    <w:p w:rsidR="003F3435" w:rsidRDefault="0032493E">
      <w:pPr>
        <w:spacing w:line="480" w:lineRule="auto"/>
        <w:ind w:firstLine="2160"/>
        <w:jc w:val="both"/>
      </w:pPr>
      <w:r>
        <w:t xml:space="preserve">(C)</w:t>
      </w:r>
      <w:r xml:space="preserve">
        <w:t> </w:t>
      </w:r>
      <w:r xml:space="preserve">
        <w:t> </w:t>
      </w:r>
      <w:r>
        <w:t xml:space="preserve">the amount of governmental money estimated or available to support subsidized child care over the periods used for the data described in Paragraphs (A) and (B) of this subdivision and the number of children receiving subsidized child care; and</w:t>
      </w:r>
    </w:p>
    <w:p w:rsidR="003F3435" w:rsidRDefault="0032493E">
      <w:pPr>
        <w:spacing w:line="480" w:lineRule="auto"/>
        <w:ind w:firstLine="1440"/>
        <w:jc w:val="both"/>
      </w:pPr>
      <w:r>
        <w:t xml:space="preserve">(2)</w:t>
      </w:r>
      <w:r xml:space="preserve">
        <w:t> </w:t>
      </w:r>
      <w:r xml:space="preserve">
        <w:t> </w:t>
      </w:r>
      <w:r>
        <w:t xml:space="preserve">estimate the number of families eligible to receive subsidized child care.</w:t>
      </w:r>
    </w:p>
    <w:p w:rsidR="003F3435" w:rsidRDefault="0032493E">
      <w:pPr>
        <w:spacing w:line="480" w:lineRule="auto"/>
        <w:ind w:firstLine="720"/>
        <w:jc w:val="both"/>
      </w:pPr>
      <w:r>
        <w:t xml:space="preserve">(b)</w:t>
      </w:r>
      <w:r xml:space="preserve">
        <w:t> </w:t>
      </w:r>
      <w:r xml:space="preserve">
        <w:t> </w:t>
      </w:r>
      <w:r>
        <w:t xml:space="preserve">Not later than December 15, 2020, the Texas Workforce Commission shall report the results of the study conducted under Subsection (a) of this section to the governor, the lieutenant governor, the speaker of the house of representatives, and each legislative standing committee with jurisdiction over child-care facilities.</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