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86R24844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4756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increase or decrease of the rates of the gasoline and diesel fuel taxes based on the cost of certain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Subchapter B, Chapter 162, Tax Code, is amended by adding Section 162.1021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162.1021.</w:t>
      </w:r>
      <w:r>
        <w:rPr>
          <w:u w:val="single"/>
        </w:rPr>
        <w:t xml:space="preserve"> </w:t>
      </w:r>
      <w:r>
        <w:rPr>
          <w:u w:val="single"/>
        </w:rPr>
        <w:t xml:space="preserve"> </w:t>
      </w:r>
      <w:r>
        <w:rPr>
          <w:u w:val="single"/>
        </w:rPr>
        <w:t xml:space="preserve">ANNUAL RATE CHANGE ACCORDING TO HIGHWAY COST INDEX.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"Highway cost index" means the 12-month moving average of the price of materials and labor compiled by the Texas Department of Transportation and incorporated into state highway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cost index percentage change" means the percentage increase or decrease in the highway cost index of a given state fiscal year from the highway cost index of the preceding state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162.102,</w:t>
      </w:r>
      <w:r>
        <w:rPr>
          <w:u w:val="single"/>
        </w:rPr>
        <w:t xml:space="preserve"> </w:t>
      </w:r>
      <w:r>
        <w:rPr>
          <w:u w:val="single"/>
        </w:rPr>
        <w:t xml:space="preserve">on January 1 of each year, the rate of the gasoline tax imposed under this subchapter is increased or decreased by a percentage equal to the highway cost index percentage change for the preceding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new tax rate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the new tax rate to the secretary of state for publication in the Texas Register;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license holder under this subchapter of the applicable new tax rate.</w:t>
      </w:r>
    </w:p>
    <w:p w:rsidR="003F3435" w:rsidRDefault="0032493E">
      <w:pPr>
        <w:spacing w:line="480" w:lineRule="auto"/>
        <w:ind w:firstLine="720"/>
        <w:jc w:val="both"/>
      </w:pPr>
      <w:r>
        <w:t xml:space="preserve">(b)</w:t>
      </w:r>
      <w:r xml:space="preserve">
        <w:t> </w:t>
      </w:r>
      <w:r xml:space="preserve">
        <w:t> </w:t>
      </w:r>
      <w:r>
        <w:t xml:space="preserve">The comptroller shall compute the initial adjusted tax rate as required by Section 162.1021(c), Tax Code, as added by this section, not later than December 1, 2019.  The initial adjusted rate takes effect January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2020, Section 162.103(a),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162.102 </w:t>
      </w:r>
      <w:r>
        <w:rPr>
          <w:u w:val="single"/>
        </w:rPr>
        <w:t xml:space="preserve">or 162.1021</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gasoline by claiming the gasoline was used for an off-highway purpose, but actually uses the gasoline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gasoline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gasoline on which tax has not been paid and who knew or had reason to know that the gasoline would be used for a taxable purpose; and</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162.104, who acquires gasoline on which tax has not been paid from any source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Subchapter C, Chapter 162, Tax Code, is amended by adding Section 162.2021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162.2021.</w:t>
      </w:r>
      <w:r>
        <w:rPr>
          <w:u w:val="single"/>
        </w:rPr>
        <w:t xml:space="preserve"> </w:t>
      </w:r>
      <w:r>
        <w:rPr>
          <w:u w:val="single"/>
        </w:rPr>
        <w:t xml:space="preserve"> </w:t>
      </w:r>
      <w:r>
        <w:rPr>
          <w:u w:val="single"/>
        </w:rPr>
        <w:t xml:space="preserve">ANNUAL RATE CHANGE ACCORDING TO HIGHWAY COST INDEX.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"Highway cost index" means the 12-month moving average of the price of materials and labor compiled by the Texas Department of Transportation and incorporated into state highway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cost index percentage change" means the percentage increase or decrease in the highway cost index of a given state fiscal year from the highway cost index of the preceding state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162.202,</w:t>
      </w:r>
      <w:r>
        <w:rPr>
          <w:u w:val="single"/>
        </w:rPr>
        <w:t xml:space="preserve"> </w:t>
      </w:r>
      <w:r>
        <w:rPr>
          <w:u w:val="single"/>
        </w:rPr>
        <w:t xml:space="preserve">on January 1 of each year, the rate of the diesel fuel tax imposed under this subchapter is increased or decreased by a percentage equal to the highway cost index percentage change for the preceding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new tax rate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the new tax rate to the secretary of state for publication in the Texas Register;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license holder under this subchapter of the applicable new tax rate.</w:t>
      </w:r>
    </w:p>
    <w:p w:rsidR="003F3435" w:rsidRDefault="0032493E">
      <w:pPr>
        <w:spacing w:line="480" w:lineRule="auto"/>
        <w:ind w:firstLine="720"/>
        <w:jc w:val="both"/>
      </w:pPr>
      <w:r>
        <w:t xml:space="preserve">(b)</w:t>
      </w:r>
      <w:r xml:space="preserve">
        <w:t> </w:t>
      </w:r>
      <w:r xml:space="preserve">
        <w:t> </w:t>
      </w:r>
      <w:r>
        <w:t xml:space="preserve">The comptroller shall compute the initial adjusted tax rate as required by Section 162.2021(c), Tax Code, as added by this section, not later than December 1, 2019.  The initial adjusted rate takes effect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January 1, 2020, Section 162.203(a), Tax Code, is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162.202 </w:t>
      </w:r>
      <w:r>
        <w:rPr>
          <w:u w:val="single"/>
        </w:rPr>
        <w:t xml:space="preserve">or 162.2021</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diesel fuel by claiming the diesel fuel was used for an off-highway purpose, but actually uses the diesel fuel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diesel fuel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diesel fuel on which a tax has not been paid and who knew or had reason to know that the diesel fuel would be used for a taxable purpose; and</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162.204, who acquires diesel fuel on which tax has not been paid from any source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