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86R12186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Lopez</w:t>
      </w:r>
      <w:r xml:space="preserve">
        <w:tab wTab="150" tlc="none" cTlc="0"/>
      </w:r>
      <w:r>
        <w:t xml:space="preserve">H.B.</w:t>
      </w:r>
      <w:r xml:space="preserve">
        <w:t> </w:t>
      </w:r>
      <w:r>
        <w:t xml:space="preserve">No.</w:t>
      </w:r>
      <w:r xml:space="preserve">
        <w:t> </w:t>
      </w:r>
      <w:r>
        <w:t xml:space="preserve">4757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Medicaid benefits to certain former foster care youth.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32, Human Resources Code, is amended by adding Section 32.02473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32.02473.</w:t>
      </w:r>
      <w:r>
        <w:rPr>
          <w:u w:val="single"/>
        </w:rPr>
        <w:t xml:space="preserve"> </w:t>
      </w:r>
      <w:r>
        <w:rPr>
          <w:u w:val="single"/>
        </w:rPr>
        <w:t xml:space="preserve"> </w:t>
      </w:r>
      <w:r>
        <w:rPr>
          <w:u w:val="single"/>
        </w:rPr>
        <w:t xml:space="preserve">MEDICAL ASSISTANCE FOR CERTAIN FORMER FOSTER CARE YOUTH.  (a)  Notwithstanding Sections 32.0247 and 32.02471, the commission shall provide medical assistance to a former foster care youth regardless of the youth's income, assets, or resources if the youth: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younger than 26 years of 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in foster care, including in the conservatorship of the Department of Family and Protective Services, and receiving medical assistance at the time the youth, because of the youth's age, transitioned out of foster care, including a youth who was in foster care in another state or territory.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apply for and actively pursue a waiver under Section 1115 of the federal Social Security Act (42 U.S.C. Section 1315) to the state Medicaid plan from the federal Centers for Medicare and Medicaid Services or any other federal agency to implement Section 32.02473, Human Resources Code, as added by this Act.  The commission may delay implementing Section 32.02473, Human Resources Code, as added by this Act, until the waiver applied for under this section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