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86R24703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Hutto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3990. HUTTO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venue project" means a venue project that has been approved under this chapter by the voters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"City" means the City of Hutto.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Hutto Municipal Management District No.</w:t>
      </w:r>
      <w:r>
        <w:rPr>
          <w:u w:val="single"/>
        </w:rPr>
        <w:t xml:space="preserve"> </w:t>
      </w:r>
      <w:r>
        <w:rPr>
          <w:u w:val="single"/>
        </w:rPr>
        <w:t xml:space="preserve">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"Venue"</w:t>
      </w:r>
      <w:r>
        <w:rPr>
          <w:u w:val="single"/>
        </w:rPr>
        <w:t xml:space="preserve"> </w:t>
      </w:r>
      <w:r>
        <w:rPr>
          <w:u w:val="single"/>
        </w:rPr>
        <w:t xml:space="preserve">has the meaning assigned by Section 334.001,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"Venue project"</w:t>
      </w:r>
      <w:r>
        <w:rPr>
          <w:u w:val="single"/>
        </w:rPr>
        <w:t xml:space="preserve"> </w:t>
      </w:r>
      <w:r>
        <w:rPr>
          <w:u w:val="single"/>
        </w:rPr>
        <w:t xml:space="preserve">means a venue and related infrastructure that is planned, acquired, established, developed, constructed, or renovated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3990.0102.</w:t>
      </w:r>
      <w:r>
        <w:rPr>
          <w:u w:val="single"/>
        </w:rPr>
        <w:t xml:space="preserve"> </w:t>
      </w:r>
      <w:r>
        <w:rPr>
          <w:u w:val="single"/>
        </w:rPr>
        <w:t xml:space="preserve"> </w:t>
      </w:r>
      <w:r>
        <w:rPr>
          <w:u w:val="single"/>
        </w:rPr>
        <w:t xml:space="preserve">NATURE OF DISTRICT.  The Hutto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venue,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w:t>
      </w:r>
      <w:r>
        <w:rPr>
          <w:u w:val="single"/>
        </w:rPr>
        <w:t xml:space="preserve"> </w:t>
      </w:r>
      <w:r>
        <w:rPr>
          <w:u w:val="single"/>
        </w:rPr>
        <w:t xml:space="preserve">terms expiring June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3990.0202.</w:t>
      </w:r>
      <w:r>
        <w:rPr>
          <w:u w:val="single"/>
        </w:rPr>
        <w:t xml:space="preserve"> </w:t>
      </w:r>
      <w:r>
        <w:rPr>
          <w:u w:val="single"/>
        </w:rPr>
        <w:t xml:space="preserve"> </w:t>
      </w:r>
      <w:r>
        <w:rPr>
          <w:u w:val="single"/>
        </w:rPr>
        <w:t xml:space="preserve">QUALIFICATIONS OF DIRECTORS.  (a)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resident of the city who is also a registered voter of the 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or a partnership or membership interest, whether beneficial or otherwise, of a corporate partnership, limited liability company, or other entity owner of a direct or indirect interest in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49.052,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3990.0203.</w:t>
      </w:r>
      <w:r>
        <w:rPr>
          <w:u w:val="single"/>
        </w:rPr>
        <w:t xml:space="preserve"> </w:t>
      </w:r>
      <w:r>
        <w:rPr>
          <w:u w:val="single"/>
        </w:rPr>
        <w:t xml:space="preserve"> </w:t>
      </w:r>
      <w:r>
        <w:rPr>
          <w:u w:val="single"/>
        </w:rPr>
        <w:t xml:space="preserve">APPOINTMENT OF DIRECTORS.  The governing body of the city shall appoint directors from persons recommended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3990.0204.</w:t>
      </w:r>
      <w:r>
        <w:rPr>
          <w:u w:val="single"/>
        </w:rPr>
        <w:t xml:space="preserve"> </w:t>
      </w:r>
      <w:r>
        <w:rPr>
          <w:u w:val="single"/>
        </w:rPr>
        <w:t xml:space="preserve"> </w:t>
      </w:r>
      <w:r>
        <w:rPr>
          <w:u w:val="single"/>
        </w:rPr>
        <w:t xml:space="preserve">VACANCY.  (a)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resign from the board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3990.0205.</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3990.0206.</w:t>
      </w:r>
      <w:r>
        <w:rPr>
          <w:u w:val="single"/>
        </w:rPr>
        <w:t xml:space="preserve"> </w:t>
      </w:r>
      <w:r>
        <w:rPr>
          <w:u w:val="single"/>
        </w:rPr>
        <w:t xml:space="preserve"> </w:t>
      </w:r>
      <w:r>
        <w:rPr>
          <w:u w:val="single"/>
        </w:rPr>
        <w:t xml:space="preserve">GENERAL MANAGER. </w:t>
      </w:r>
      <w:r>
        <w:rPr>
          <w:u w:val="single"/>
        </w:rPr>
        <w:t xml:space="preserve"> </w:t>
      </w:r>
      <w:r>
        <w:rPr>
          <w:u w:val="single"/>
        </w:rPr>
        <w:t xml:space="preserve">The board may employ or contract with a person to perform the duties of a general manager of the district in the manner provided by Section 49.056,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3990.0207.</w:t>
      </w:r>
      <w:r>
        <w:rPr>
          <w:u w:val="single"/>
        </w:rPr>
        <w:t xml:space="preserve"> </w:t>
      </w:r>
      <w:r>
        <w:rPr>
          <w:u w:val="single"/>
        </w:rPr>
        <w:t xml:space="preserve"> </w:t>
      </w:r>
      <w:r>
        <w:rPr>
          <w:u w:val="single"/>
        </w:rPr>
        <w:t xml:space="preserve">INITIAL DIRECTORS. </w:t>
      </w:r>
      <w:r>
        <w:rPr>
          <w:u w:val="single"/>
        </w:rPr>
        <w:t xml:space="preserve"> </w:t>
      </w:r>
      <w:r>
        <w:rPr>
          <w:u w:val="single"/>
        </w:rPr>
        <w:t xml:space="preserve">(a) </w:t>
      </w:r>
      <w:r>
        <w:rPr>
          <w:u w:val="single"/>
        </w:rPr>
        <w:t xml:space="preserve"> </w:t>
      </w:r>
      <w:r>
        <w:rPr>
          <w:u w:val="single"/>
        </w:rPr>
        <w:t xml:space="preserve">The initial board consists of persons appointed by the city from persons recommended by the owner or owners of a majority of the land located within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to positions one and two expire June 1, 2020, and the terms of directors appointed to positions three through five expire June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3990.0203 does not apply to a person appointed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2022.</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3990.0303.</w:t>
      </w:r>
      <w:r>
        <w:rPr>
          <w:u w:val="single"/>
        </w:rPr>
        <w:t xml:space="preserve"> </w:t>
      </w:r>
      <w:r>
        <w:rPr>
          <w:u w:val="single"/>
        </w:rPr>
        <w:t xml:space="preserve"> </w:t>
      </w:r>
      <w:r>
        <w:rPr>
          <w:u w:val="single"/>
        </w:rPr>
        <w:t xml:space="preserve">VENUE PROJECT. </w:t>
      </w:r>
      <w:r>
        <w:rPr>
          <w:u w:val="single"/>
        </w:rPr>
        <w:t xml:space="preserve"> </w:t>
      </w:r>
      <w:r>
        <w:rPr>
          <w:u w:val="single"/>
        </w:rPr>
        <w:t xml:space="preserve">(a) </w:t>
      </w:r>
      <w:r>
        <w:rPr>
          <w:u w:val="single"/>
        </w:rPr>
        <w:t xml:space="preserve"> </w:t>
      </w:r>
      <w:r>
        <w:rPr>
          <w:u w:val="single"/>
        </w:rPr>
        <w:t xml:space="preserve">The legislature finds for all constitutional and statutory purposes that a venue project is an improvement project under this chapter and is owned, used, and held for public purposes by the district or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acquire, sell, lease, convey, or otherwise dispose of property or an interest in property, including an approved venue project, under terms and conditions determined by the district.  In a transaction with another public entity that is made as provided by this subsection, the public purpose found by the legislature under Subsection (a) is adequate consideration for the district and the other public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contract with a public or private person, including a sports team, club, organization, or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 acquire, establish, develop, construct, or renovate an approved venue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any other act the district is authorized to perform under this chapter, other than conducting an election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contract with or enter into an interlocal agreement with a school district, junior or community college district, or an institution of higher education as defined by Section 61.003, Education Code, for a purpose described by Subsection (c).  The contract or interlocal agreement may provide for joint ownership and operation or joint use.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Competitive bidding laws do not apply to the planning, acquisition, establishment, development, construction, or renovation of an approved venue project under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must provide for the planning, acquisition, establishment, development, construction, or renovation of a venue project by resolution.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resolution must designate each venue project and each method of financing authorized by this chapter that the district may use to finance each project.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resolution under Subsection (f) may designate more than one method of financing.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district may not undertake the venue project unless the resolution is approved by a majority of the qualified voters of the district voting at an election held for that purpose.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venue project is exempt from taxation under Section 11.11, Tax Code, while the district owns the venue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3990.0304.</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3990.0305.</w:t>
      </w:r>
      <w:r>
        <w:rPr>
          <w:u w:val="single"/>
        </w:rPr>
        <w:t xml:space="preserve"> </w:t>
      </w:r>
      <w:r>
        <w:rPr>
          <w:u w:val="single"/>
        </w:rPr>
        <w:t xml:space="preserve"> </w:t>
      </w:r>
      <w:r>
        <w:rPr>
          <w:u w:val="single"/>
        </w:rPr>
        <w:t xml:space="preserve">LAW ENFORCEMENT SERVICES.  To protect the public interest, the district shall undertake to contract with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3990.0306.</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3990.0307.</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3990.0308.</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3990.0309.</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3990.0310.</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3990.0312.</w:t>
      </w:r>
      <w:r>
        <w:rPr>
          <w:u w:val="single"/>
        </w:rPr>
        <w:t xml:space="preserve"> </w:t>
      </w:r>
      <w:r>
        <w:rPr>
          <w:u w:val="single"/>
        </w:rPr>
        <w:t xml:space="preserve"> </w:t>
      </w:r>
      <w:r>
        <w:rPr>
          <w:u w:val="single"/>
        </w:rPr>
        <w:t xml:space="preserve">PAYMENT IN LIEU OF TAXES.  The district may enter into an agreement for payments in lieu of taxes with a taxing authority for property located in the district.</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3990.0501,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assessments, sales taxes,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improvements financed by an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3990.0505.</w:t>
      </w:r>
      <w:r>
        <w:rPr>
          <w:u w:val="single"/>
        </w:rPr>
        <w:t xml:space="preserve"> </w:t>
      </w:r>
      <w:r>
        <w:rPr>
          <w:u w:val="single"/>
        </w:rPr>
        <w:t xml:space="preserve"> </w:t>
      </w:r>
      <w:r>
        <w:rPr>
          <w:u w:val="single"/>
        </w:rPr>
        <w:t xml:space="preserve">BONDS SECURED BY AD VALOREM TAXES; ELECTIONS.  (a)  If authorized at an election under Section 3990.0501,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3990.0602.</w:t>
      </w:r>
      <w:r>
        <w:rPr>
          <w:u w:val="single"/>
        </w:rPr>
        <w:t xml:space="preserve"> </w:t>
      </w:r>
      <w:r>
        <w:rPr>
          <w:u w:val="single"/>
        </w:rPr>
        <w:t xml:space="preserve"> </w:t>
      </w:r>
      <w:r>
        <w:rPr>
          <w:u w:val="single"/>
        </w:rPr>
        <w:t xml:space="preserve">ELECTION; ADOPTION OF TAX.  (a)  The district may adopt a sales and use tax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consents to the adoption of the tax;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is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city consent under Subsection (a), 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provide notice of the election and shall hold the election in the manner prescribed by Chapter 49,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Hutto Municipal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3990.0603.</w:t>
      </w:r>
      <w:r>
        <w:rPr>
          <w:u w:val="single"/>
        </w:rPr>
        <w:t xml:space="preserve"> </w:t>
      </w:r>
      <w:r>
        <w:rPr>
          <w:u w:val="single"/>
        </w:rPr>
        <w:t xml:space="preserve"> </w:t>
      </w:r>
      <w:r>
        <w:rPr>
          <w:u w:val="single"/>
        </w:rPr>
        <w:t xml:space="preserve">SALES AND USE TAX RATE.  (a)  Not later than the 10th day after the date the results are declared of an election held under Section 3990.0602 at which the voters authorized imposition of a tax, the board shall provide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authorization of a tax under Section 3990.0602, the board may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decrease the rate of the tax if the decrease would impair the repayment of any outstanding debt or obligation payable from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rate of the tax or any rate resulting from subsequent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at the election held under Section 3990.0602;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3990.0604.</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3990.0605.</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3990.0606.</w:t>
      </w:r>
      <w:r>
        <w:rPr>
          <w:u w:val="single"/>
        </w:rPr>
        <w:t xml:space="preserve"> </w:t>
      </w:r>
      <w:r>
        <w:rPr>
          <w:u w:val="single"/>
        </w:rPr>
        <w:t xml:space="preserve"> </w:t>
      </w:r>
      <w:r>
        <w:rPr>
          <w:u w:val="single"/>
        </w:rPr>
        <w:t xml:space="preserve">ABOLITION OF TAX.  (a)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3990.0602 before the district may subsequently impose the tax.</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Hutto Municipal Management District No.</w:t>
      </w:r>
      <w:r xml:space="preserve">
        <w:t> </w:t>
      </w:r>
      <w:r>
        <w:t xml:space="preserve">1 initially includes all territory contained in the following area:</w:t>
      </w:r>
    </w:p>
    <w:p w:rsidR="003F3435" w:rsidRDefault="0032493E">
      <w:pPr>
        <w:spacing w:line="480" w:lineRule="auto"/>
        <w:jc w:val="center"/>
      </w:pPr>
      <w:r>
        <w:t xml:space="preserve">MMD District Metes and Bounds</w:t>
      </w:r>
    </w:p>
    <w:p w:rsidR="003F3435" w:rsidRDefault="0032493E">
      <w:pPr>
        <w:spacing w:line="480" w:lineRule="auto"/>
        <w:ind w:firstLine="720"/>
        <w:jc w:val="both"/>
      </w:pPr>
      <w:r>
        <w:t xml:space="preserve">From Start/End Point #1 (X = 3180310.306; Y = 10174718.926)</w:t>
      </w:r>
    </w:p>
    <w:p w:rsidR="003F3435" w:rsidRDefault="0032493E">
      <w:pPr>
        <w:spacing w:line="480" w:lineRule="auto"/>
        <w:ind w:firstLine="720"/>
        <w:jc w:val="both"/>
      </w:pPr>
      <w:r>
        <w:t xml:space="preserve">S 7° 22' 22" W, 894.326 Feet to Point #2 (X = 3180195.541; Y = 10173831.994)</w:t>
      </w:r>
    </w:p>
    <w:p w:rsidR="003F3435" w:rsidRDefault="0032493E">
      <w:pPr>
        <w:spacing w:line="480" w:lineRule="auto"/>
        <w:ind w:firstLine="720"/>
        <w:jc w:val="both"/>
      </w:pPr>
      <w:r>
        <w:t xml:space="preserve">S 8° 22' 47" W, 354.335 Feet to Point #3 (X = 3180143.902; Y = 10173481.442)</w:t>
      </w:r>
    </w:p>
    <w:p w:rsidR="003F3435" w:rsidRDefault="0032493E">
      <w:pPr>
        <w:spacing w:line="480" w:lineRule="auto"/>
        <w:ind w:firstLine="720"/>
        <w:jc w:val="both"/>
      </w:pPr>
      <w:r>
        <w:t xml:space="preserve">S 7° 15' 18" W, 2071.681 Feet to Point #4 (X = 3179882.279; Y = 10171426.347)</w:t>
      </w:r>
    </w:p>
    <w:p w:rsidR="003F3435" w:rsidRDefault="0032493E">
      <w:pPr>
        <w:spacing w:line="480" w:lineRule="auto"/>
        <w:ind w:firstLine="720"/>
        <w:jc w:val="both"/>
      </w:pPr>
      <w:r>
        <w:t xml:space="preserve">N 81° 44' 19" W, 1601.611 Feet to Point #5 (X = 3178297.288; Y = 10171656.482)</w:t>
      </w:r>
    </w:p>
    <w:p w:rsidR="003F3435" w:rsidRDefault="0032493E">
      <w:pPr>
        <w:spacing w:line="480" w:lineRule="auto"/>
        <w:ind w:firstLine="720"/>
        <w:jc w:val="both"/>
      </w:pPr>
      <w:r>
        <w:t xml:space="preserve">N 82° 50' 20" W, 1526.048 Feet to Point #6 (X = 3176783.144; Y = 10171846.722)</w:t>
      </w:r>
    </w:p>
    <w:p w:rsidR="003F3435" w:rsidRDefault="0032493E">
      <w:pPr>
        <w:spacing w:line="480" w:lineRule="auto"/>
        <w:ind w:firstLine="720"/>
        <w:jc w:val="both"/>
      </w:pPr>
      <w:r>
        <w:t xml:space="preserve">N 43° 22' 48" W, 70.987 Feet to Point #7 (X = 3176734.388; Y = 10171898.316)</w:t>
      </w:r>
    </w:p>
    <w:p w:rsidR="003F3435" w:rsidRDefault="0032493E">
      <w:pPr>
        <w:spacing w:line="480" w:lineRule="auto"/>
        <w:ind w:firstLine="720"/>
        <w:jc w:val="both"/>
      </w:pPr>
      <w:r>
        <w:t xml:space="preserve">N 8° 38' 31" E, 856.069 Feet to Point #8 (X = 3176863.022; Y = 10173012.405)</w:t>
      </w:r>
    </w:p>
    <w:p w:rsidR="003F3435" w:rsidRDefault="0032493E">
      <w:pPr>
        <w:spacing w:line="480" w:lineRule="auto"/>
        <w:ind w:firstLine="720"/>
        <w:jc w:val="both"/>
      </w:pPr>
      <w:r>
        <w:t xml:space="preserve">N 7° 58' 27" E, 270.353 Feet to Point #9 (X = 3176900.527; Y = 10173831.994)</w:t>
      </w:r>
    </w:p>
    <w:p w:rsidR="003F3435" w:rsidRDefault="0032493E">
      <w:pPr>
        <w:spacing w:line="480" w:lineRule="auto"/>
        <w:ind w:firstLine="720"/>
        <w:jc w:val="both"/>
      </w:pPr>
      <w:r>
        <w:t xml:space="preserve">S 77° 25' 32" W, 1199.841 Feet to Point #10 (X = 3175729.466; Y = 10172751.188)</w:t>
      </w:r>
    </w:p>
    <w:p w:rsidR="003F3435" w:rsidRDefault="0032493E">
      <w:pPr>
        <w:spacing w:line="480" w:lineRule="auto"/>
        <w:ind w:firstLine="720"/>
        <w:jc w:val="both"/>
      </w:pPr>
      <w:r>
        <w:t xml:space="preserve">N 3° 46' 54" E, 1165.972 Feet to Point #11 (X = 3175806.368; Y = 10173914.621)</w:t>
      </w:r>
    </w:p>
    <w:p w:rsidR="003F3435" w:rsidRDefault="0032493E">
      <w:pPr>
        <w:spacing w:line="480" w:lineRule="auto"/>
        <w:ind w:firstLine="720"/>
        <w:jc w:val="both"/>
      </w:pPr>
      <w:r>
        <w:t xml:space="preserve">N 24° 5' 20" W, 445.811 Feet to Point #12 (X = 3175624.408; Y = 10174321.608)</w:t>
      </w:r>
    </w:p>
    <w:p w:rsidR="003F3435" w:rsidRDefault="0032493E">
      <w:pPr>
        <w:spacing w:line="480" w:lineRule="auto"/>
        <w:ind w:firstLine="720"/>
        <w:jc w:val="both"/>
      </w:pPr>
      <w:r>
        <w:t xml:space="preserve">N 55° 51' 17" E, 531.521 Feet to Point #13 (X = 3176064.304; Y = 10174619.947)</w:t>
      </w:r>
    </w:p>
    <w:p w:rsidR="003F3435" w:rsidRDefault="0032493E">
      <w:pPr>
        <w:spacing w:line="480" w:lineRule="auto"/>
        <w:ind w:firstLine="720"/>
        <w:jc w:val="both"/>
      </w:pPr>
      <w:r>
        <w:t xml:space="preserve">N 71° 8' 51" E, 266.837 Feet to Point #14 (X = 3176316.826; Y = 10174706.171)</w:t>
      </w:r>
    </w:p>
    <w:p w:rsidR="003F3435" w:rsidRDefault="0032493E">
      <w:pPr>
        <w:spacing w:line="480" w:lineRule="auto"/>
        <w:ind w:firstLine="720"/>
        <w:jc w:val="both"/>
      </w:pPr>
      <w:r>
        <w:t xml:space="preserve">N 31° 40' 20" E, 532.079 Feet to Point #15 (X = 3176596.198; Y = 10175159.005)</w:t>
      </w:r>
    </w:p>
    <w:p w:rsidR="003F3435" w:rsidRDefault="0032493E">
      <w:pPr>
        <w:spacing w:line="480" w:lineRule="auto"/>
        <w:ind w:firstLine="720"/>
        <w:jc w:val="both"/>
      </w:pPr>
      <w:r>
        <w:t xml:space="preserve">N 33° 30' 14" E, 27.122 Feet to Point #16 (X = 3176611.169; Y = 10175181.621)</w:t>
      </w:r>
    </w:p>
    <w:p w:rsidR="003F3435" w:rsidRDefault="0032493E">
      <w:pPr>
        <w:spacing w:line="480" w:lineRule="auto"/>
        <w:ind w:firstLine="720"/>
        <w:jc w:val="both"/>
      </w:pPr>
      <w:r>
        <w:t xml:space="preserve">S 81° 46' 48" E, 2169.047 Feet to Point #17 (X = 3178757.928; Y = 10174871.504)</w:t>
      </w:r>
    </w:p>
    <w:p w:rsidR="003F3435" w:rsidRDefault="0032493E">
      <w:pPr>
        <w:spacing w:line="480" w:lineRule="auto"/>
        <w:ind w:firstLine="720"/>
        <w:jc w:val="both"/>
      </w:pPr>
      <w:r>
        <w:t xml:space="preserve">S 84° 23' 12" E, 1559.854 Feet to Start/End Point #1 (X = 3180310.306; Y = 10174718.926)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