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86R31504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4764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Midlothian Municipal Management District No. 3 to impose an ad valorem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3952.305, Special District Local Laws Code, is amended to read as follows:</w:t>
      </w:r>
    </w:p>
    <w:p w:rsidR="003F3435" w:rsidRDefault="0032493E">
      <w:pPr>
        <w:spacing w:line="480" w:lineRule="auto"/>
        <w:ind w:firstLine="720"/>
        <w:jc w:val="both"/>
      </w:pPr>
      <w:r>
        <w:t xml:space="preserve">Sec.</w:t>
      </w:r>
      <w:r xml:space="preserve">
        <w:t> </w:t>
      </w:r>
      <w:r>
        <w:t xml:space="preserve">3952.305.</w:t>
      </w:r>
      <w:r xml:space="preserve">
        <w:t> </w:t>
      </w:r>
      <w:r xml:space="preserve">
        <w:t> </w:t>
      </w:r>
      <w:r>
        <w:t xml:space="preserve">TAX RATE.</w:t>
      </w:r>
      <w:r xml:space="preserve">
        <w:t> </w:t>
      </w:r>
      <w:r xml:space="preserve">
        <w:t> </w:t>
      </w:r>
      <w:r>
        <w:rPr>
          <w:u w:val="single"/>
        </w:rPr>
        <w:t xml:space="preserve">(a)</w:t>
      </w:r>
      <w:r>
        <w:t xml:space="preserve"> The district's ad valorem tax rate may not exceed 40 cents per $100 valuation.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district's ad valorem tax rate may exceed the limit specified by that subsection to the extent necessary to permit the district to comply with Section 3952.303.  This subsection does not authorize the district to issue bonds or other obligations if, based on the assessed value of property in the district as shown in the most recent certificate of assessed valuation or certificate of estimated assessed valuation issued by the Ellis Appraisal District available at the time of issuance, the issuance of the bonds or other obligations would require the district to adopt a tax rate that exceeds the limit specified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