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H.C.R.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March 13, 2019, and ending on Monday, March 18,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